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AE" w:rsidRDefault="00D445AE" w:rsidP="00D445AE">
      <w:pPr>
        <w:pStyle w:val="Default"/>
        <w:ind w:firstLine="284"/>
        <w:jc w:val="both"/>
      </w:pPr>
    </w:p>
    <w:p w:rsidR="00D445AE" w:rsidRPr="00052166" w:rsidRDefault="00D445AE" w:rsidP="00D445AE">
      <w:pPr>
        <w:ind w:firstLine="284"/>
        <w:jc w:val="both"/>
      </w:pPr>
      <w:r w:rsidRPr="00052166">
        <w:t xml:space="preserve">Утвърдил: </w:t>
      </w:r>
    </w:p>
    <w:p w:rsidR="00D445AE" w:rsidRDefault="00D445AE" w:rsidP="00D445AE">
      <w:pPr>
        <w:ind w:firstLine="284"/>
        <w:jc w:val="both"/>
      </w:pPr>
    </w:p>
    <w:p w:rsidR="00D445AE" w:rsidRPr="00052166" w:rsidRDefault="00D445AE" w:rsidP="00D445AE">
      <w:pPr>
        <w:ind w:firstLine="284"/>
        <w:jc w:val="both"/>
      </w:pPr>
      <w:r>
        <w:t xml:space="preserve">...................................... </w:t>
      </w:r>
      <w:r w:rsidRPr="00052166">
        <w:t xml:space="preserve"> </w:t>
      </w:r>
    </w:p>
    <w:p w:rsidR="00D445AE" w:rsidRPr="00052166" w:rsidRDefault="00D445AE" w:rsidP="00D445AE">
      <w:pPr>
        <w:ind w:firstLine="284"/>
        <w:jc w:val="both"/>
      </w:pPr>
      <w:r w:rsidRPr="00052166">
        <w:t xml:space="preserve">КМЕТ НА ОБЩИНА </w:t>
      </w:r>
      <w:r>
        <w:t>АСЕНОВГРАД</w:t>
      </w:r>
    </w:p>
    <w:p w:rsidR="00D445AE" w:rsidRDefault="00D445AE" w:rsidP="00D445AE">
      <w:pPr>
        <w:ind w:firstLine="284"/>
        <w:jc w:val="both"/>
        <w:rPr>
          <w:sz w:val="32"/>
          <w:szCs w:val="32"/>
        </w:rPr>
      </w:pPr>
    </w:p>
    <w:p w:rsidR="00D445AE" w:rsidRDefault="00D445AE" w:rsidP="00D445AE">
      <w:pPr>
        <w:ind w:firstLine="284"/>
        <w:jc w:val="both"/>
      </w:pPr>
    </w:p>
    <w:p w:rsidR="00D445AE" w:rsidRDefault="00D445AE" w:rsidP="00D445AE">
      <w:pPr>
        <w:spacing w:line="360" w:lineRule="auto"/>
        <w:ind w:firstLine="284"/>
        <w:jc w:val="both"/>
        <w:rPr>
          <w:b/>
          <w:sz w:val="36"/>
          <w:szCs w:val="36"/>
        </w:rPr>
      </w:pPr>
    </w:p>
    <w:p w:rsidR="00D445AE" w:rsidRPr="00EE60EF" w:rsidRDefault="00D445AE" w:rsidP="008D4384">
      <w:pPr>
        <w:spacing w:line="360" w:lineRule="auto"/>
        <w:jc w:val="center"/>
        <w:rPr>
          <w:b/>
        </w:rPr>
      </w:pPr>
      <w:r w:rsidRPr="00EE60EF">
        <w:rPr>
          <w:b/>
        </w:rPr>
        <w:t>Д О К У М Е Н Т А Ц И Я</w:t>
      </w:r>
    </w:p>
    <w:p w:rsidR="00D445AE" w:rsidRPr="00052166" w:rsidRDefault="00D445AE" w:rsidP="008D4384">
      <w:pPr>
        <w:spacing w:line="360" w:lineRule="auto"/>
        <w:jc w:val="center"/>
        <w:rPr>
          <w:b/>
        </w:rPr>
      </w:pPr>
      <w:r w:rsidRPr="00052166">
        <w:rPr>
          <w:b/>
        </w:rPr>
        <w:t>ЗА</w:t>
      </w:r>
    </w:p>
    <w:p w:rsidR="00D445AE" w:rsidRPr="00052166" w:rsidRDefault="00D445AE" w:rsidP="008D4384">
      <w:pPr>
        <w:spacing w:line="360" w:lineRule="auto"/>
        <w:jc w:val="center"/>
        <w:rPr>
          <w:b/>
          <w:lang w:val="ru-RU"/>
        </w:rPr>
      </w:pPr>
      <w:r w:rsidRPr="00052166">
        <w:rPr>
          <w:b/>
        </w:rPr>
        <w:t>УЧАСТИЕ В ОТКРИТА ПРОЦЕДУРА ПО РЕДА НА ЗОП ЗА ВЪЗЛАГАНЕ НА ОБЩЕСТВЕНА ПОРЪЧКА С ПРЕДМЕТ:</w:t>
      </w:r>
    </w:p>
    <w:p w:rsidR="00D445AE" w:rsidRPr="00052166" w:rsidRDefault="00D445AE" w:rsidP="00D445AE">
      <w:pPr>
        <w:spacing w:line="480" w:lineRule="auto"/>
        <w:ind w:right="138" w:firstLine="284"/>
        <w:jc w:val="both"/>
        <w:rPr>
          <w:b/>
          <w:lang w:val="ru-RU"/>
        </w:rPr>
      </w:pPr>
    </w:p>
    <w:p w:rsidR="00D445AE" w:rsidRPr="00AF76FB" w:rsidRDefault="00D445AE" w:rsidP="00D445AE">
      <w:pPr>
        <w:ind w:right="138" w:firstLine="284"/>
        <w:jc w:val="both"/>
        <w:rPr>
          <w:b/>
          <w:lang w:val="ru-RU"/>
        </w:rPr>
      </w:pPr>
    </w:p>
    <w:p w:rsidR="00D445AE" w:rsidRPr="00315C76" w:rsidRDefault="00D445AE" w:rsidP="00D445A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C7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15C76">
        <w:rPr>
          <w:rFonts w:ascii="Times New Roman" w:hAnsi="Times New Roman" w:cs="Times New Roman"/>
          <w:b/>
          <w:sz w:val="24"/>
          <w:szCs w:val="24"/>
        </w:rPr>
        <w:t>Подготовка на проектно предложение за кандид</w:t>
      </w:r>
      <w:r>
        <w:rPr>
          <w:rFonts w:ascii="Times New Roman" w:hAnsi="Times New Roman" w:cs="Times New Roman"/>
          <w:b/>
          <w:sz w:val="24"/>
          <w:szCs w:val="24"/>
        </w:rPr>
        <w:t xml:space="preserve">атстване по процедура за подбор </w:t>
      </w:r>
      <w:r w:rsidRPr="00315C76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C76">
        <w:rPr>
          <w:rFonts w:ascii="Times New Roman" w:hAnsi="Times New Roman" w:cs="Times New Roman"/>
          <w:b/>
          <w:sz w:val="24"/>
          <w:szCs w:val="24"/>
        </w:rPr>
        <w:t xml:space="preserve">проекти </w:t>
      </w:r>
      <w:r w:rsidRPr="00315C7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15C76">
        <w:rPr>
          <w:rFonts w:ascii="Times New Roman" w:hAnsi="Times New Roman" w:cs="Times New Roman"/>
          <w:b/>
          <w:sz w:val="24"/>
          <w:szCs w:val="24"/>
        </w:rPr>
        <w:t>Проектиране и изграждане на компостиращи инсталации за разделно събрани зелени и</w:t>
      </w:r>
      <w:r w:rsidRPr="00315C7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15C76">
        <w:rPr>
          <w:rFonts w:ascii="Times New Roman" w:hAnsi="Times New Roman" w:cs="Times New Roman"/>
          <w:b/>
          <w:sz w:val="24"/>
          <w:szCs w:val="24"/>
        </w:rPr>
        <w:t>или биоразградими отпадъци</w:t>
      </w:r>
      <w:r w:rsidRPr="00315C7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15C76">
        <w:rPr>
          <w:rFonts w:ascii="Times New Roman" w:hAnsi="Times New Roman" w:cs="Times New Roman"/>
          <w:b/>
          <w:sz w:val="24"/>
          <w:szCs w:val="24"/>
        </w:rPr>
        <w:t>вкл</w:t>
      </w:r>
      <w:r w:rsidRPr="00315C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5C76">
        <w:rPr>
          <w:rFonts w:ascii="Times New Roman" w:hAnsi="Times New Roman" w:cs="Times New Roman"/>
          <w:b/>
          <w:sz w:val="24"/>
          <w:szCs w:val="24"/>
        </w:rPr>
        <w:t>осигуряване на необходимото оборудване и на съоръжения и техника за разделно събиране на зелени и биоразградими отпадъци</w:t>
      </w:r>
      <w:r w:rsidRPr="00315C76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Pr="00315C76">
        <w:rPr>
          <w:rFonts w:ascii="Times New Roman" w:hAnsi="Times New Roman" w:cs="Times New Roman"/>
          <w:b/>
          <w:sz w:val="24"/>
          <w:szCs w:val="24"/>
        </w:rPr>
        <w:t xml:space="preserve">в рамките на Оперативна програма </w:t>
      </w:r>
      <w:r w:rsidRPr="00315C7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15C76">
        <w:rPr>
          <w:rFonts w:ascii="Times New Roman" w:hAnsi="Times New Roman" w:cs="Times New Roman"/>
          <w:b/>
          <w:sz w:val="24"/>
          <w:szCs w:val="24"/>
        </w:rPr>
        <w:t xml:space="preserve">Околна среда </w:t>
      </w:r>
      <w:r w:rsidRPr="00315C76">
        <w:rPr>
          <w:rFonts w:ascii="Times New Roman" w:hAnsi="Times New Roman" w:cs="Times New Roman"/>
          <w:b/>
          <w:bCs/>
          <w:sz w:val="24"/>
          <w:szCs w:val="24"/>
        </w:rPr>
        <w:t xml:space="preserve">2014-2020 </w:t>
      </w:r>
      <w:r w:rsidRPr="00315C76">
        <w:rPr>
          <w:rFonts w:ascii="Times New Roman" w:hAnsi="Times New Roman" w:cs="Times New Roman"/>
          <w:b/>
          <w:sz w:val="24"/>
          <w:szCs w:val="24"/>
        </w:rPr>
        <w:t>г</w:t>
      </w:r>
      <w:r w:rsidRPr="00315C76">
        <w:rPr>
          <w:rFonts w:ascii="Times New Roman" w:hAnsi="Times New Roman" w:cs="Times New Roman"/>
          <w:b/>
          <w:bCs/>
          <w:sz w:val="24"/>
          <w:szCs w:val="24"/>
        </w:rPr>
        <w:t>.“</w:t>
      </w:r>
    </w:p>
    <w:p w:rsidR="00D445AE" w:rsidRDefault="00D445AE" w:rsidP="00D445AE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AE" w:rsidRPr="00224D5A" w:rsidRDefault="00224D5A" w:rsidP="0027288A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4D5A">
        <w:rPr>
          <w:rFonts w:ascii="Times New Roman" w:hAnsi="Times New Roman" w:cs="Times New Roman"/>
          <w:sz w:val="24"/>
          <w:szCs w:val="24"/>
          <w:u w:val="single"/>
        </w:rPr>
        <w:t>Променена с Решение № А-722 от 26.04.2016 год.</w:t>
      </w:r>
    </w:p>
    <w:p w:rsidR="00D445AE" w:rsidRDefault="00D445AE" w:rsidP="00272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66" w:rsidRPr="001C6037" w:rsidRDefault="000F2C66" w:rsidP="00B819B6">
      <w:pPr>
        <w:spacing w:line="360" w:lineRule="auto"/>
        <w:jc w:val="center"/>
        <w:rPr>
          <w:b/>
        </w:rPr>
      </w:pPr>
      <w:r w:rsidRPr="001C6037">
        <w:rPr>
          <w:b/>
        </w:rPr>
        <w:lastRenderedPageBreak/>
        <w:t>СЪДЪРЖАНИЕ</w:t>
      </w:r>
    </w:p>
    <w:p w:rsidR="000F2C66" w:rsidRPr="001C6037" w:rsidRDefault="000F2C66" w:rsidP="000F2C66">
      <w:pPr>
        <w:spacing w:line="360" w:lineRule="auto"/>
        <w:ind w:firstLine="284"/>
        <w:jc w:val="both"/>
        <w:rPr>
          <w:b/>
        </w:rPr>
      </w:pPr>
      <w:r w:rsidRPr="001C6037">
        <w:rPr>
          <w:b/>
        </w:rPr>
        <w:t>РЕШЕНИЕ ЗА ОТКРИВАНЕ.</w:t>
      </w:r>
    </w:p>
    <w:p w:rsidR="000F2C66" w:rsidRDefault="000F2C66" w:rsidP="000F2C66">
      <w:pPr>
        <w:spacing w:line="360" w:lineRule="auto"/>
        <w:ind w:firstLine="284"/>
        <w:jc w:val="both"/>
        <w:rPr>
          <w:b/>
        </w:rPr>
      </w:pPr>
      <w:r w:rsidRPr="001C6037">
        <w:rPr>
          <w:b/>
        </w:rPr>
        <w:t>ОБЯВЛЕНИЕ ЗА ПОРЪЧКА.</w:t>
      </w:r>
    </w:p>
    <w:p w:rsidR="004B5670" w:rsidRPr="001C6037" w:rsidRDefault="004B5670" w:rsidP="000F2C66">
      <w:pPr>
        <w:spacing w:line="360" w:lineRule="auto"/>
        <w:ind w:firstLine="284"/>
        <w:jc w:val="both"/>
        <w:rPr>
          <w:b/>
        </w:rPr>
      </w:pPr>
      <w:r>
        <w:rPr>
          <w:b/>
        </w:rPr>
        <w:t>ТЕХНИЧЕСКА СПЕЦИФИКАЦИЯ.</w:t>
      </w:r>
    </w:p>
    <w:p w:rsidR="000F2C66" w:rsidRPr="001C6037" w:rsidRDefault="000F2C66" w:rsidP="000F2C66">
      <w:pPr>
        <w:spacing w:line="360" w:lineRule="auto"/>
        <w:ind w:firstLine="284"/>
        <w:jc w:val="both"/>
        <w:rPr>
          <w:b/>
        </w:rPr>
      </w:pPr>
      <w:r w:rsidRPr="001C6037">
        <w:rPr>
          <w:b/>
        </w:rPr>
        <w:t xml:space="preserve">І. </w:t>
      </w:r>
      <w:r w:rsidRPr="0027288A">
        <w:rPr>
          <w:b/>
        </w:rPr>
        <w:t>ПЪЛНО ОПИСАНИЕ НА ПРЕДМЕТА НА ОБЩЕСТВЕНАТА ПОРЪЧКА</w:t>
      </w:r>
      <w:r w:rsidRPr="001C6037">
        <w:rPr>
          <w:b/>
        </w:rPr>
        <w:t>.</w:t>
      </w:r>
    </w:p>
    <w:p w:rsidR="000F2C66" w:rsidRDefault="000F2C66" w:rsidP="000F2C66">
      <w:pPr>
        <w:spacing w:line="276" w:lineRule="auto"/>
        <w:ind w:firstLine="284"/>
        <w:jc w:val="both"/>
      </w:pPr>
      <w:r>
        <w:t>1. Възложител.</w:t>
      </w:r>
    </w:p>
    <w:p w:rsidR="000F2C66" w:rsidRDefault="000F2C66" w:rsidP="00B819B6">
      <w:pPr>
        <w:spacing w:line="276" w:lineRule="auto"/>
        <w:ind w:left="284"/>
        <w:jc w:val="both"/>
      </w:pPr>
      <w:r>
        <w:t>2. Правно основание за откриване на процедурата за възлагане на обществена поръчка.</w:t>
      </w:r>
    </w:p>
    <w:p w:rsidR="000F2C66" w:rsidRDefault="000F2C66" w:rsidP="000F2C66">
      <w:pPr>
        <w:spacing w:line="276" w:lineRule="auto"/>
        <w:ind w:firstLine="284"/>
        <w:jc w:val="both"/>
      </w:pPr>
      <w:r w:rsidRPr="000F2C66">
        <w:t>3. Предмет</w:t>
      </w:r>
      <w:r>
        <w:t>.</w:t>
      </w:r>
    </w:p>
    <w:p w:rsidR="000F2C66" w:rsidRDefault="000F2C66" w:rsidP="000F2C66">
      <w:pPr>
        <w:spacing w:line="276" w:lineRule="auto"/>
        <w:ind w:firstLine="284"/>
        <w:jc w:val="both"/>
      </w:pPr>
      <w:r w:rsidRPr="000F2C66">
        <w:t>4. Обхват</w:t>
      </w:r>
      <w:r>
        <w:t>.</w:t>
      </w:r>
    </w:p>
    <w:p w:rsidR="000F2C66" w:rsidRDefault="000F2C66" w:rsidP="000F2C66">
      <w:pPr>
        <w:spacing w:line="276" w:lineRule="auto"/>
        <w:ind w:firstLine="284"/>
        <w:jc w:val="both"/>
      </w:pPr>
      <w:r w:rsidRPr="000F2C66">
        <w:t>5. Максимална обща стойност на поръчката</w:t>
      </w:r>
      <w:r>
        <w:t>.</w:t>
      </w:r>
    </w:p>
    <w:p w:rsidR="000F2C66" w:rsidRDefault="000F2C66" w:rsidP="000F2C66">
      <w:pPr>
        <w:spacing w:line="276" w:lineRule="auto"/>
        <w:ind w:firstLine="284"/>
        <w:jc w:val="both"/>
      </w:pPr>
      <w:r w:rsidRPr="000F2C66">
        <w:t>6. Основна и специфични цели на предмета на поръчката</w:t>
      </w:r>
      <w:r w:rsidR="00AD0082">
        <w:t>.</w:t>
      </w:r>
    </w:p>
    <w:p w:rsidR="000F2C66" w:rsidRDefault="000F2C66" w:rsidP="000F2C66">
      <w:pPr>
        <w:spacing w:line="360" w:lineRule="auto"/>
        <w:ind w:firstLine="284"/>
        <w:jc w:val="both"/>
        <w:rPr>
          <w:b/>
        </w:rPr>
      </w:pPr>
      <w:r w:rsidRPr="000F2C66">
        <w:rPr>
          <w:b/>
        </w:rPr>
        <w:t>II. ОБЩИ ИЗИСКВАНИЯ КЪМ УЧАСТНИЦИТЕ</w:t>
      </w:r>
      <w:r>
        <w:rPr>
          <w:b/>
        </w:rPr>
        <w:t>.</w:t>
      </w:r>
    </w:p>
    <w:p w:rsidR="000F2C66" w:rsidRPr="000F2C66" w:rsidRDefault="000F2C66" w:rsidP="000F2C66">
      <w:pPr>
        <w:spacing w:line="276" w:lineRule="auto"/>
        <w:ind w:firstLine="284"/>
        <w:jc w:val="both"/>
        <w:rPr>
          <w:b/>
        </w:rPr>
      </w:pPr>
      <w:r w:rsidRPr="000F2C66">
        <w:rPr>
          <w:b/>
        </w:rPr>
        <w:t>III. УКАЗАНИЯ ЗА ПОДГОТОВКА И ПРЕДСТАВЯНЕ НА ОФЕРТАТА</w:t>
      </w:r>
      <w:r w:rsidR="004102C9">
        <w:rPr>
          <w:b/>
        </w:rPr>
        <w:t>.</w:t>
      </w:r>
    </w:p>
    <w:p w:rsidR="000F2C66" w:rsidRDefault="000F2C66" w:rsidP="000F2C66">
      <w:pPr>
        <w:spacing w:line="276" w:lineRule="auto"/>
        <w:ind w:firstLine="284"/>
        <w:jc w:val="both"/>
      </w:pPr>
      <w:r>
        <w:t>1. Указания за подготовка на офертата. Съдържание и представяне на офертата.</w:t>
      </w:r>
    </w:p>
    <w:p w:rsidR="000F2C66" w:rsidRDefault="000F2C66" w:rsidP="000F2C66">
      <w:pPr>
        <w:spacing w:line="276" w:lineRule="auto"/>
        <w:ind w:firstLine="284"/>
        <w:jc w:val="both"/>
      </w:pPr>
      <w:r w:rsidRPr="000F2C66">
        <w:t>2. Изисквания към съдържанието на офертата</w:t>
      </w:r>
      <w:r>
        <w:t>.</w:t>
      </w:r>
    </w:p>
    <w:p w:rsidR="000F2C66" w:rsidRDefault="000F2C66" w:rsidP="000F2C66">
      <w:pPr>
        <w:spacing w:line="276" w:lineRule="auto"/>
        <w:ind w:firstLine="284"/>
        <w:jc w:val="both"/>
      </w:pPr>
      <w:r w:rsidRPr="000F2C66">
        <w:t>3. Изисквания към документите</w:t>
      </w:r>
      <w:r>
        <w:t>.</w:t>
      </w:r>
    </w:p>
    <w:p w:rsidR="000F2C66" w:rsidRDefault="000F2C66" w:rsidP="000F2C66">
      <w:pPr>
        <w:spacing w:line="276" w:lineRule="auto"/>
        <w:ind w:firstLine="284"/>
        <w:jc w:val="both"/>
      </w:pPr>
      <w:r w:rsidRPr="000F2C66">
        <w:t>4. Цена и начин на плащане</w:t>
      </w:r>
      <w:r>
        <w:t>.</w:t>
      </w:r>
    </w:p>
    <w:p w:rsidR="00693813" w:rsidRDefault="004075C3" w:rsidP="00693813">
      <w:pPr>
        <w:ind w:firstLine="284"/>
        <w:jc w:val="both"/>
        <w:rPr>
          <w:b/>
        </w:rPr>
      </w:pPr>
      <w:r w:rsidRPr="004075C3">
        <w:rPr>
          <w:b/>
        </w:rPr>
        <w:t>IV. КРИТЕРИЙ ЗА ОЦЕНКА НА ОФЕРТИТЕ</w:t>
      </w:r>
      <w:r w:rsidR="004102C9">
        <w:rPr>
          <w:b/>
        </w:rPr>
        <w:t>.</w:t>
      </w:r>
    </w:p>
    <w:p w:rsidR="00693813" w:rsidRDefault="00693813" w:rsidP="00693813">
      <w:pPr>
        <w:ind w:firstLine="284"/>
        <w:jc w:val="both"/>
      </w:pPr>
      <w:r w:rsidRPr="00693813">
        <w:rPr>
          <w:bCs/>
          <w:lang w:val="en-US"/>
        </w:rPr>
        <w:t>1</w:t>
      </w:r>
      <w:r w:rsidRPr="00693813">
        <w:rPr>
          <w:bCs/>
        </w:rPr>
        <w:t>. П</w:t>
      </w:r>
      <w:r w:rsidRPr="00693813">
        <w:t>оказатели</w:t>
      </w:r>
      <w:r w:rsidRPr="00693813">
        <w:rPr>
          <w:bCs/>
        </w:rPr>
        <w:t xml:space="preserve">, </w:t>
      </w:r>
      <w:r w:rsidRPr="00693813">
        <w:t>тяхната относителна тежест и методика за оценката им.</w:t>
      </w:r>
    </w:p>
    <w:p w:rsidR="00693813" w:rsidRDefault="00693813" w:rsidP="00693813">
      <w:pPr>
        <w:ind w:firstLine="284"/>
        <w:jc w:val="both"/>
      </w:pPr>
      <w:r w:rsidRPr="00693813">
        <w:t>2. Оценка на техническото предложение</w:t>
      </w:r>
      <w:r>
        <w:t>.</w:t>
      </w:r>
    </w:p>
    <w:p w:rsidR="00693813" w:rsidRPr="00693813" w:rsidRDefault="00693813" w:rsidP="00693813">
      <w:pPr>
        <w:ind w:firstLine="284"/>
        <w:jc w:val="both"/>
      </w:pPr>
      <w:r w:rsidRPr="00693813">
        <w:t>3. Оценка на ценовото предложение</w:t>
      </w:r>
      <w:r w:rsidR="00AD0082">
        <w:t>.</w:t>
      </w:r>
    </w:p>
    <w:p w:rsidR="000F2C66" w:rsidRPr="00001BED" w:rsidRDefault="00001BED" w:rsidP="00001BED">
      <w:pPr>
        <w:spacing w:line="360" w:lineRule="auto"/>
        <w:ind w:firstLine="284"/>
        <w:jc w:val="both"/>
        <w:rPr>
          <w:b/>
        </w:rPr>
      </w:pPr>
      <w:r w:rsidRPr="00001BED">
        <w:rPr>
          <w:b/>
        </w:rPr>
        <w:t>V. ДОКУМЕНТАЦИЯ ЗА УЧАСТИЕ В ПРОЦЕДУРАТА</w:t>
      </w:r>
      <w:r>
        <w:rPr>
          <w:b/>
        </w:rPr>
        <w:t>.</w:t>
      </w:r>
    </w:p>
    <w:p w:rsidR="000F2C66" w:rsidRDefault="00001BED" w:rsidP="000F2C66">
      <w:pPr>
        <w:spacing w:line="360" w:lineRule="auto"/>
        <w:ind w:firstLine="284"/>
        <w:jc w:val="both"/>
        <w:rPr>
          <w:b/>
        </w:rPr>
      </w:pPr>
      <w:r w:rsidRPr="00001BED">
        <w:rPr>
          <w:b/>
        </w:rPr>
        <w:t>VI. ОБМЕН НА ИНФОРМАЦИЯТА ПРИ ПРОВЕЖДАНЕ НА ПРОЦЕДУРАТА</w:t>
      </w:r>
      <w:r w:rsidR="000F2C66" w:rsidRPr="001C6037">
        <w:rPr>
          <w:b/>
        </w:rPr>
        <w:t>.</w:t>
      </w:r>
    </w:p>
    <w:p w:rsidR="000F2C66" w:rsidRDefault="00001BED" w:rsidP="000F2C66">
      <w:pPr>
        <w:spacing w:line="360" w:lineRule="auto"/>
        <w:ind w:firstLine="284"/>
        <w:jc w:val="both"/>
        <w:rPr>
          <w:b/>
          <w:lang w:val="en-US"/>
        </w:rPr>
      </w:pPr>
      <w:r w:rsidRPr="00001BED">
        <w:rPr>
          <w:b/>
        </w:rPr>
        <w:t>VII. СКЛЮЧВАНЕ НА ДОГОВОР</w:t>
      </w:r>
      <w:r>
        <w:rPr>
          <w:b/>
          <w:lang w:val="en-US"/>
        </w:rPr>
        <w:t>.</w:t>
      </w:r>
    </w:p>
    <w:p w:rsidR="00001BED" w:rsidRDefault="00001BED" w:rsidP="000F2C66">
      <w:pPr>
        <w:spacing w:line="360" w:lineRule="auto"/>
        <w:ind w:firstLine="284"/>
        <w:jc w:val="both"/>
        <w:rPr>
          <w:b/>
          <w:lang w:val="en-US"/>
        </w:rPr>
      </w:pPr>
      <w:r w:rsidRPr="00001BED">
        <w:rPr>
          <w:b/>
          <w:lang w:val="en-US"/>
        </w:rPr>
        <w:t>VIII. ДРУГИ УКАЗАНИЯ</w:t>
      </w:r>
      <w:r>
        <w:rPr>
          <w:b/>
          <w:lang w:val="en-US"/>
        </w:rPr>
        <w:t>.</w:t>
      </w:r>
    </w:p>
    <w:p w:rsidR="00001BED" w:rsidRPr="00AD0082" w:rsidRDefault="00001BED" w:rsidP="000F2C66">
      <w:pPr>
        <w:spacing w:line="360" w:lineRule="auto"/>
        <w:ind w:firstLine="284"/>
        <w:jc w:val="both"/>
        <w:rPr>
          <w:b/>
        </w:rPr>
      </w:pPr>
      <w:r>
        <w:rPr>
          <w:b/>
          <w:lang w:val="en-US"/>
        </w:rPr>
        <w:t xml:space="preserve">IX. </w:t>
      </w:r>
      <w:r w:rsidRPr="00496A0B">
        <w:rPr>
          <w:b/>
        </w:rPr>
        <w:t>ПРИЛОЖЕНИЯ №1-</w:t>
      </w:r>
      <w:r>
        <w:rPr>
          <w:b/>
        </w:rPr>
        <w:t>1</w:t>
      </w:r>
      <w:r>
        <w:rPr>
          <w:b/>
          <w:lang w:val="en-US"/>
        </w:rPr>
        <w:t>2</w:t>
      </w:r>
      <w:r w:rsidR="00AD0082">
        <w:rPr>
          <w:b/>
        </w:rPr>
        <w:t>.</w:t>
      </w:r>
    </w:p>
    <w:p w:rsidR="00FF55A8" w:rsidRDefault="00FF55A8" w:rsidP="000F2C66">
      <w:pPr>
        <w:spacing w:line="360" w:lineRule="auto"/>
        <w:ind w:firstLine="284"/>
        <w:jc w:val="both"/>
        <w:rPr>
          <w:b/>
          <w:lang w:val="en-US"/>
        </w:rPr>
      </w:pPr>
    </w:p>
    <w:p w:rsidR="00FF55A8" w:rsidRDefault="00FF55A8" w:rsidP="000F2C66">
      <w:pPr>
        <w:spacing w:line="360" w:lineRule="auto"/>
        <w:ind w:firstLine="284"/>
        <w:jc w:val="both"/>
        <w:rPr>
          <w:b/>
          <w:lang w:val="en-US"/>
        </w:rPr>
      </w:pPr>
    </w:p>
    <w:p w:rsidR="00FF55A8" w:rsidRDefault="00FF55A8" w:rsidP="000F2C66">
      <w:pPr>
        <w:spacing w:line="360" w:lineRule="auto"/>
        <w:ind w:firstLine="284"/>
        <w:jc w:val="both"/>
        <w:rPr>
          <w:b/>
          <w:lang w:val="en-US"/>
        </w:rPr>
      </w:pPr>
    </w:p>
    <w:p w:rsidR="00FF55A8" w:rsidRDefault="00FF55A8" w:rsidP="000F2C66">
      <w:pPr>
        <w:spacing w:line="360" w:lineRule="auto"/>
        <w:ind w:firstLine="284"/>
        <w:jc w:val="both"/>
        <w:rPr>
          <w:b/>
          <w:lang w:val="en-US"/>
        </w:rPr>
      </w:pPr>
    </w:p>
    <w:p w:rsidR="00FF55A8" w:rsidRDefault="00FF55A8" w:rsidP="000F2C66">
      <w:pPr>
        <w:spacing w:line="360" w:lineRule="auto"/>
        <w:ind w:firstLine="284"/>
        <w:jc w:val="both"/>
        <w:rPr>
          <w:b/>
          <w:lang w:val="en-US"/>
        </w:rPr>
      </w:pPr>
    </w:p>
    <w:p w:rsidR="00FF55A8" w:rsidRDefault="00FF55A8" w:rsidP="000F2C66">
      <w:pPr>
        <w:spacing w:line="360" w:lineRule="auto"/>
        <w:ind w:firstLine="284"/>
        <w:jc w:val="both"/>
        <w:rPr>
          <w:b/>
          <w:lang w:val="en-US"/>
        </w:rPr>
      </w:pPr>
    </w:p>
    <w:p w:rsidR="00FF55A8" w:rsidRDefault="00FF55A8" w:rsidP="000F2C66">
      <w:pPr>
        <w:spacing w:line="360" w:lineRule="auto"/>
        <w:ind w:firstLine="284"/>
        <w:jc w:val="both"/>
        <w:rPr>
          <w:b/>
          <w:lang w:val="en-US"/>
        </w:rPr>
      </w:pPr>
    </w:p>
    <w:p w:rsidR="00FF55A8" w:rsidRDefault="00FF55A8" w:rsidP="000F2C66">
      <w:pPr>
        <w:spacing w:line="360" w:lineRule="auto"/>
        <w:ind w:firstLine="284"/>
        <w:jc w:val="both"/>
        <w:rPr>
          <w:b/>
          <w:lang w:val="en-US"/>
        </w:rPr>
      </w:pPr>
    </w:p>
    <w:p w:rsidR="00FF55A8" w:rsidRDefault="00FF55A8" w:rsidP="000F2C66">
      <w:pPr>
        <w:spacing w:line="360" w:lineRule="auto"/>
        <w:ind w:firstLine="284"/>
        <w:jc w:val="both"/>
        <w:rPr>
          <w:b/>
          <w:lang w:val="en-US"/>
        </w:rPr>
      </w:pPr>
    </w:p>
    <w:p w:rsidR="00FF55A8" w:rsidRDefault="00FF55A8" w:rsidP="000F2C66">
      <w:pPr>
        <w:spacing w:line="360" w:lineRule="auto"/>
        <w:ind w:firstLine="284"/>
        <w:jc w:val="both"/>
        <w:rPr>
          <w:b/>
          <w:lang w:val="en-US"/>
        </w:rPr>
      </w:pPr>
    </w:p>
    <w:p w:rsidR="00FF55A8" w:rsidRDefault="00FF55A8" w:rsidP="000F2C66">
      <w:pPr>
        <w:spacing w:line="360" w:lineRule="auto"/>
        <w:ind w:firstLine="284"/>
        <w:jc w:val="both"/>
        <w:rPr>
          <w:b/>
          <w:lang w:val="en-US"/>
        </w:rPr>
      </w:pPr>
    </w:p>
    <w:p w:rsidR="00AD0082" w:rsidRDefault="00AD0082" w:rsidP="0014177B">
      <w:pPr>
        <w:pStyle w:val="NoSpacing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B6D" w:rsidRDefault="00C30B6D" w:rsidP="00470A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8A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27288A">
        <w:rPr>
          <w:rFonts w:ascii="Times New Roman" w:hAnsi="Times New Roman" w:cs="Times New Roman"/>
          <w:b/>
          <w:sz w:val="24"/>
          <w:szCs w:val="24"/>
        </w:rPr>
        <w:t>ПЪЛНО ОПИСАНИЕ НА ПРЕДМЕТА НА ОБЩЕСТВЕНАТА ПОРЪЧКА</w:t>
      </w:r>
    </w:p>
    <w:p w:rsidR="00315C76" w:rsidRPr="00183E92" w:rsidRDefault="00315C76" w:rsidP="0014177B">
      <w:pPr>
        <w:pStyle w:val="NoSpacing"/>
        <w:ind w:firstLine="39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3E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Възложител. </w:t>
      </w:r>
    </w:p>
    <w:p w:rsidR="00315C76" w:rsidRPr="00D405FF" w:rsidRDefault="00315C76" w:rsidP="0014177B">
      <w:pPr>
        <w:pStyle w:val="NoSpacing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C76">
        <w:rPr>
          <w:rFonts w:ascii="Times New Roman" w:hAnsi="Times New Roman" w:cs="Times New Roman"/>
          <w:bCs/>
          <w:sz w:val="24"/>
          <w:szCs w:val="24"/>
        </w:rPr>
        <w:t xml:space="preserve">Възложител на настоящата процедура за възлагане на обществена поръчка, по реда на Закона за обществените поръчки (ЗОП) е ОБЩИНА </w:t>
      </w:r>
      <w:r>
        <w:rPr>
          <w:rFonts w:ascii="Times New Roman" w:hAnsi="Times New Roman" w:cs="Times New Roman"/>
          <w:bCs/>
          <w:sz w:val="24"/>
          <w:szCs w:val="24"/>
        </w:rPr>
        <w:t>АСЕНОВГРАД</w:t>
      </w:r>
      <w:r w:rsidRPr="00D405FF">
        <w:rPr>
          <w:rFonts w:ascii="Times New Roman" w:hAnsi="Times New Roman" w:cs="Times New Roman"/>
          <w:bCs/>
          <w:sz w:val="24"/>
          <w:szCs w:val="24"/>
        </w:rPr>
        <w:t xml:space="preserve">, ЕИК </w:t>
      </w:r>
      <w:r w:rsidR="00D405FF" w:rsidRPr="00D405FF">
        <w:rPr>
          <w:rFonts w:ascii="Times New Roman" w:hAnsi="Times New Roman" w:cs="Times New Roman"/>
          <w:bCs/>
          <w:sz w:val="24"/>
          <w:szCs w:val="24"/>
        </w:rPr>
        <w:t>000471059</w:t>
      </w:r>
      <w:r w:rsidRPr="00D405FF">
        <w:rPr>
          <w:rFonts w:ascii="Times New Roman" w:hAnsi="Times New Roman" w:cs="Times New Roman"/>
          <w:bCs/>
          <w:sz w:val="24"/>
          <w:szCs w:val="24"/>
        </w:rPr>
        <w:t xml:space="preserve">, със седалище: гр. </w:t>
      </w:r>
      <w:r w:rsidR="00D405FF" w:rsidRPr="00D405FF">
        <w:rPr>
          <w:rFonts w:ascii="Times New Roman" w:hAnsi="Times New Roman" w:cs="Times New Roman"/>
          <w:bCs/>
          <w:sz w:val="24"/>
          <w:szCs w:val="24"/>
        </w:rPr>
        <w:t>Асеновград</w:t>
      </w:r>
      <w:r w:rsidR="00802909" w:rsidRPr="00D405FF">
        <w:rPr>
          <w:rFonts w:ascii="Times New Roman" w:hAnsi="Times New Roman" w:cs="Times New Roman"/>
          <w:bCs/>
          <w:sz w:val="24"/>
          <w:szCs w:val="24"/>
        </w:rPr>
        <w:t>,</w:t>
      </w:r>
      <w:r w:rsidR="00D405FF" w:rsidRPr="00D405FF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02909" w:rsidRPr="00D405FF">
        <w:rPr>
          <w:rFonts w:ascii="Times New Roman" w:hAnsi="Times New Roman" w:cs="Times New Roman"/>
          <w:bCs/>
          <w:sz w:val="24"/>
          <w:szCs w:val="24"/>
        </w:rPr>
        <w:t>л</w:t>
      </w:r>
      <w:r w:rsidRPr="00D405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05FF" w:rsidRPr="00D405FF">
        <w:rPr>
          <w:rFonts w:ascii="Times New Roman" w:hAnsi="Times New Roman" w:cs="Times New Roman"/>
          <w:bCs/>
          <w:sz w:val="24"/>
          <w:szCs w:val="24"/>
        </w:rPr>
        <w:t>„Акад. Николай Хайтов“</w:t>
      </w:r>
      <w:r w:rsidRPr="00D405F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405FF" w:rsidRPr="00D405FF">
        <w:rPr>
          <w:rFonts w:ascii="Times New Roman" w:hAnsi="Times New Roman" w:cs="Times New Roman"/>
          <w:bCs/>
          <w:sz w:val="24"/>
          <w:szCs w:val="24"/>
        </w:rPr>
        <w:t>9</w:t>
      </w:r>
      <w:r w:rsidRPr="00D405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5C76" w:rsidRPr="00D405FF" w:rsidRDefault="00315C76" w:rsidP="0014177B">
      <w:pPr>
        <w:pStyle w:val="NoSpacing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5FF">
        <w:rPr>
          <w:rFonts w:ascii="Times New Roman" w:hAnsi="Times New Roman" w:cs="Times New Roman"/>
          <w:bCs/>
          <w:sz w:val="24"/>
          <w:szCs w:val="24"/>
        </w:rPr>
        <w:t xml:space="preserve">Интернет адрес: </w:t>
      </w:r>
      <w:r w:rsidR="00D405FF" w:rsidRPr="00D405FF">
        <w:rPr>
          <w:rFonts w:ascii="Times New Roman" w:hAnsi="Times New Roman" w:cs="Times New Roman"/>
          <w:bCs/>
          <w:sz w:val="24"/>
          <w:szCs w:val="24"/>
        </w:rPr>
        <w:t>http://www.assenovgrad.com/</w:t>
      </w:r>
    </w:p>
    <w:p w:rsidR="00315C76" w:rsidRPr="00315C76" w:rsidRDefault="00315C76" w:rsidP="0014177B">
      <w:pPr>
        <w:pStyle w:val="NoSpacing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5FF">
        <w:rPr>
          <w:rFonts w:ascii="Times New Roman" w:hAnsi="Times New Roman" w:cs="Times New Roman"/>
          <w:bCs/>
          <w:sz w:val="24"/>
          <w:szCs w:val="24"/>
        </w:rPr>
        <w:t xml:space="preserve">Профил на купувача: </w:t>
      </w:r>
      <w:r w:rsidR="00D405FF" w:rsidRPr="00D405FF">
        <w:rPr>
          <w:rFonts w:ascii="Times New Roman" w:hAnsi="Times New Roman" w:cs="Times New Roman"/>
          <w:bCs/>
          <w:sz w:val="24"/>
          <w:szCs w:val="24"/>
        </w:rPr>
        <w:t>http://op.assenovgrad.com/?q=page&amp;idd=index</w:t>
      </w:r>
    </w:p>
    <w:p w:rsidR="00315C76" w:rsidRPr="00315C76" w:rsidRDefault="00315C76" w:rsidP="0014177B">
      <w:pPr>
        <w:pStyle w:val="NoSpacing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C76" w:rsidRPr="00183E92" w:rsidRDefault="00315C76" w:rsidP="0014177B">
      <w:pPr>
        <w:pStyle w:val="NoSpacing"/>
        <w:ind w:firstLine="39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3E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Правно основание за откриване на процедурата за възлагане на обществена поръчка. </w:t>
      </w:r>
    </w:p>
    <w:p w:rsidR="00315C76" w:rsidRPr="00315C76" w:rsidRDefault="00315C76" w:rsidP="0014177B">
      <w:pPr>
        <w:pStyle w:val="NoSpacing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C76">
        <w:rPr>
          <w:rFonts w:ascii="Times New Roman" w:hAnsi="Times New Roman" w:cs="Times New Roman"/>
          <w:bCs/>
          <w:sz w:val="24"/>
          <w:szCs w:val="24"/>
        </w:rPr>
        <w:t xml:space="preserve">Възложителят открива настоящата процедура за възлагане на обществена поръчка на основание чл. 16, ал. 8 от Закона за обществените поръчки (ЗОП). За нерегламентирани в настоящите указания и документацията за участие условия по провеждането на процедурата, се прилагат разпоредбите на ЗОП и подзаконовите актове по прилагането му, както и приложимите национални и международни нормативни актове, съобразно предмета на поръчката.  </w:t>
      </w:r>
    </w:p>
    <w:p w:rsidR="00315C76" w:rsidRDefault="00315C76" w:rsidP="0014177B">
      <w:pPr>
        <w:pStyle w:val="NoSpacing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B6D" w:rsidRPr="00183E92" w:rsidRDefault="00C30B6D" w:rsidP="0014177B">
      <w:pPr>
        <w:pStyle w:val="NoSpacing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E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</w:t>
      </w:r>
      <w:r w:rsidRPr="00183E9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15C76" w:rsidRPr="00183E92">
        <w:rPr>
          <w:rFonts w:ascii="Times New Roman" w:hAnsi="Times New Roman" w:cs="Times New Roman"/>
          <w:b/>
          <w:i/>
          <w:sz w:val="24"/>
          <w:szCs w:val="24"/>
        </w:rPr>
        <w:t>редмет</w:t>
      </w:r>
    </w:p>
    <w:p w:rsidR="00C30B6D" w:rsidRDefault="00C30B6D" w:rsidP="0014177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 xml:space="preserve">Предметът на обществената поръчка е избор на Изпълнител, който да подпомогне Община </w:t>
      </w:r>
      <w:r w:rsidR="0027288A">
        <w:rPr>
          <w:rFonts w:ascii="Times New Roman" w:hAnsi="Times New Roman" w:cs="Times New Roman"/>
          <w:sz w:val="24"/>
          <w:szCs w:val="24"/>
        </w:rPr>
        <w:t>Асеновград</w:t>
      </w:r>
      <w:r w:rsidRPr="0027288A">
        <w:rPr>
          <w:rFonts w:ascii="Times New Roman" w:hAnsi="Times New Roman" w:cs="Times New Roman"/>
          <w:sz w:val="24"/>
          <w:szCs w:val="24"/>
        </w:rPr>
        <w:t xml:space="preserve"> при разработването на проектно предложение за кандидатстване по ОПОС</w:t>
      </w:r>
      <w:r w:rsidR="0027288A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 xml:space="preserve">2014-2020 по процедура за подбор на проектни предложения </w:t>
      </w:r>
      <w:r w:rsidRPr="0027288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7288A">
        <w:rPr>
          <w:rFonts w:ascii="Times New Roman" w:hAnsi="Times New Roman" w:cs="Times New Roman"/>
          <w:sz w:val="24"/>
          <w:szCs w:val="24"/>
        </w:rPr>
        <w:t>Проектиране и изграждане на компостиращи инсталации за разделно събрани зелени и</w:t>
      </w:r>
      <w:r w:rsidRPr="0027288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7288A">
        <w:rPr>
          <w:rFonts w:ascii="Times New Roman" w:hAnsi="Times New Roman" w:cs="Times New Roman"/>
          <w:sz w:val="24"/>
          <w:szCs w:val="24"/>
        </w:rPr>
        <w:t>или биоразградими отпадъци</w:t>
      </w:r>
      <w:r w:rsidRPr="002728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7288A">
        <w:rPr>
          <w:rFonts w:ascii="Times New Roman" w:hAnsi="Times New Roman" w:cs="Times New Roman"/>
          <w:sz w:val="24"/>
          <w:szCs w:val="24"/>
        </w:rPr>
        <w:t>вкл</w:t>
      </w:r>
      <w:r w:rsidRPr="0027288A">
        <w:rPr>
          <w:rFonts w:ascii="Times New Roman" w:hAnsi="Times New Roman" w:cs="Times New Roman"/>
          <w:bCs/>
          <w:sz w:val="24"/>
          <w:szCs w:val="24"/>
        </w:rPr>
        <w:t>.</w:t>
      </w:r>
      <w:r w:rsidRPr="00272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осигуряване на необходимото оборудване и на съоръжения и техника за</w:t>
      </w:r>
      <w:r w:rsidR="0027288A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разделно събиране на зелени и биоразградими отпадъци</w:t>
      </w:r>
      <w:r w:rsidRPr="0027288A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Pr="0027288A">
        <w:rPr>
          <w:rFonts w:ascii="Times New Roman" w:hAnsi="Times New Roman" w:cs="Times New Roman"/>
          <w:sz w:val="24"/>
          <w:szCs w:val="24"/>
        </w:rPr>
        <w:t>съобразно изискванията на</w:t>
      </w:r>
      <w:r w:rsidR="0027288A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ОПОС.</w:t>
      </w:r>
    </w:p>
    <w:p w:rsidR="00315C76" w:rsidRPr="0027288A" w:rsidRDefault="00315C76" w:rsidP="0014177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30B6D" w:rsidRPr="00183E92" w:rsidRDefault="00C30B6D" w:rsidP="0014177B">
      <w:pPr>
        <w:pStyle w:val="NoSpacing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E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</w:t>
      </w:r>
      <w:r w:rsidRPr="00183E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15C76" w:rsidRPr="00183E92">
        <w:rPr>
          <w:rFonts w:ascii="Times New Roman" w:hAnsi="Times New Roman" w:cs="Times New Roman"/>
          <w:b/>
          <w:i/>
          <w:sz w:val="24"/>
          <w:szCs w:val="24"/>
        </w:rPr>
        <w:t>бхват</w:t>
      </w:r>
    </w:p>
    <w:p w:rsidR="00C30B6D" w:rsidRDefault="00C30B6D" w:rsidP="0014177B">
      <w:pPr>
        <w:pStyle w:val="NoSpacing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 xml:space="preserve">В обхвата на настоящата обществена поръчка са включени Община </w:t>
      </w:r>
      <w:r w:rsidR="0027288A">
        <w:rPr>
          <w:rFonts w:ascii="Times New Roman" w:hAnsi="Times New Roman" w:cs="Times New Roman"/>
          <w:sz w:val="24"/>
          <w:szCs w:val="24"/>
        </w:rPr>
        <w:t>Асеновград</w:t>
      </w:r>
      <w:r w:rsidRPr="0027288A">
        <w:rPr>
          <w:rFonts w:ascii="Times New Roman" w:hAnsi="Times New Roman" w:cs="Times New Roman"/>
          <w:sz w:val="24"/>
          <w:szCs w:val="24"/>
        </w:rPr>
        <w:t xml:space="preserve"> и другите общини </w:t>
      </w:r>
      <w:r w:rsidRPr="003A6F29">
        <w:rPr>
          <w:rFonts w:ascii="Times New Roman" w:hAnsi="Times New Roman" w:cs="Times New Roman"/>
          <w:sz w:val="24"/>
          <w:szCs w:val="24"/>
        </w:rPr>
        <w:t xml:space="preserve">от Регионално сдружение за управление на отпадъците </w:t>
      </w:r>
      <w:r w:rsidR="0027288A" w:rsidRPr="003A6F29">
        <w:rPr>
          <w:rFonts w:ascii="Times New Roman" w:hAnsi="Times New Roman" w:cs="Times New Roman"/>
          <w:sz w:val="24"/>
          <w:szCs w:val="24"/>
        </w:rPr>
        <w:t>Асеновград</w:t>
      </w:r>
      <w:r w:rsidRPr="003A6F29">
        <w:rPr>
          <w:rFonts w:ascii="Times New Roman" w:hAnsi="Times New Roman" w:cs="Times New Roman"/>
          <w:sz w:val="24"/>
          <w:szCs w:val="24"/>
        </w:rPr>
        <w:t xml:space="preserve"> </w:t>
      </w:r>
      <w:r w:rsidRPr="003A6F2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A6F29">
        <w:rPr>
          <w:rFonts w:ascii="Times New Roman" w:hAnsi="Times New Roman" w:cs="Times New Roman"/>
          <w:sz w:val="24"/>
          <w:szCs w:val="24"/>
        </w:rPr>
        <w:t>доколкото за другите общини Изпълнителят трябва да включи информация и данни</w:t>
      </w:r>
      <w:r w:rsidRPr="003A6F2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A6F29">
        <w:rPr>
          <w:rFonts w:ascii="Times New Roman" w:hAnsi="Times New Roman" w:cs="Times New Roman"/>
          <w:sz w:val="24"/>
          <w:szCs w:val="24"/>
        </w:rPr>
        <w:t>необходими за изпълнение на дейности и постигане на резултати от изпълнение на дейностите</w:t>
      </w:r>
      <w:r w:rsidRPr="003A6F2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A6F29">
        <w:rPr>
          <w:rFonts w:ascii="Times New Roman" w:hAnsi="Times New Roman" w:cs="Times New Roman"/>
          <w:sz w:val="24"/>
          <w:szCs w:val="24"/>
        </w:rPr>
        <w:t>съгласно техническата спецификация</w:t>
      </w:r>
      <w:r w:rsidRPr="003A6F2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315C76" w:rsidRPr="0027288A" w:rsidRDefault="00315C76" w:rsidP="0014177B">
      <w:pPr>
        <w:pStyle w:val="NoSpacing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0B6D" w:rsidRPr="00183E92" w:rsidRDefault="00C30B6D" w:rsidP="0014177B">
      <w:pPr>
        <w:pStyle w:val="NoSpacing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E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5. </w:t>
      </w:r>
      <w:r w:rsidR="00315C76" w:rsidRPr="00183E92">
        <w:rPr>
          <w:rFonts w:ascii="Times New Roman" w:hAnsi="Times New Roman" w:cs="Times New Roman"/>
          <w:b/>
          <w:i/>
          <w:sz w:val="24"/>
          <w:szCs w:val="24"/>
        </w:rPr>
        <w:t>Максимална обща стойност на поръчката</w:t>
      </w:r>
    </w:p>
    <w:p w:rsidR="00C30B6D" w:rsidRDefault="008E105F" w:rsidP="0014177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5D2D">
        <w:rPr>
          <w:rFonts w:ascii="Times New Roman" w:hAnsi="Times New Roman" w:cs="Times New Roman"/>
          <w:sz w:val="24"/>
          <w:szCs w:val="24"/>
        </w:rPr>
        <w:t>2</w:t>
      </w:r>
      <w:r w:rsidR="00A35D2D" w:rsidRPr="00A35D2D">
        <w:rPr>
          <w:rFonts w:ascii="Times New Roman" w:hAnsi="Times New Roman" w:cs="Times New Roman"/>
          <w:sz w:val="24"/>
          <w:szCs w:val="24"/>
        </w:rPr>
        <w:t>52 0</w:t>
      </w:r>
      <w:r w:rsidRPr="00A35D2D">
        <w:rPr>
          <w:rFonts w:ascii="Times New Roman" w:hAnsi="Times New Roman" w:cs="Times New Roman"/>
          <w:sz w:val="24"/>
          <w:szCs w:val="24"/>
        </w:rPr>
        <w:t>00,00</w:t>
      </w:r>
      <w:r w:rsidR="00C30B6D" w:rsidRPr="00A35D2D">
        <w:rPr>
          <w:rFonts w:ascii="Times New Roman" w:hAnsi="Times New Roman" w:cs="Times New Roman"/>
          <w:sz w:val="24"/>
          <w:szCs w:val="24"/>
        </w:rPr>
        <w:t xml:space="preserve"> (</w:t>
      </w:r>
      <w:r w:rsidRPr="00A35D2D">
        <w:rPr>
          <w:rFonts w:ascii="Times New Roman" w:hAnsi="Times New Roman" w:cs="Times New Roman"/>
          <w:sz w:val="24"/>
          <w:szCs w:val="24"/>
        </w:rPr>
        <w:t xml:space="preserve">двеста </w:t>
      </w:r>
      <w:r w:rsidR="00A35D2D" w:rsidRPr="00A35D2D">
        <w:rPr>
          <w:rFonts w:ascii="Times New Roman" w:hAnsi="Times New Roman" w:cs="Times New Roman"/>
          <w:sz w:val="24"/>
          <w:szCs w:val="24"/>
        </w:rPr>
        <w:t xml:space="preserve">петдесет и </w:t>
      </w:r>
      <w:r w:rsidRPr="00A35D2D">
        <w:rPr>
          <w:rFonts w:ascii="Times New Roman" w:hAnsi="Times New Roman" w:cs="Times New Roman"/>
          <w:sz w:val="24"/>
          <w:szCs w:val="24"/>
        </w:rPr>
        <w:t xml:space="preserve">две хиляди </w:t>
      </w:r>
      <w:r w:rsidR="00C30B6D" w:rsidRPr="00A35D2D">
        <w:rPr>
          <w:rFonts w:ascii="Times New Roman" w:hAnsi="Times New Roman" w:cs="Times New Roman"/>
          <w:sz w:val="24"/>
          <w:szCs w:val="24"/>
        </w:rPr>
        <w:t>) лева без ДДС.</w:t>
      </w:r>
    </w:p>
    <w:p w:rsidR="00315C76" w:rsidRPr="0027288A" w:rsidRDefault="00315C76" w:rsidP="0014177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30B6D" w:rsidRPr="00183E92" w:rsidRDefault="00C30B6D" w:rsidP="0014177B">
      <w:pPr>
        <w:pStyle w:val="NoSpacing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E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6. </w:t>
      </w:r>
      <w:r w:rsidR="00315C76" w:rsidRPr="00183E92">
        <w:rPr>
          <w:rFonts w:ascii="Times New Roman" w:hAnsi="Times New Roman" w:cs="Times New Roman"/>
          <w:b/>
          <w:i/>
          <w:sz w:val="24"/>
          <w:szCs w:val="24"/>
        </w:rPr>
        <w:t>Основна и специфични цели на предмета на поръчката</w:t>
      </w:r>
    </w:p>
    <w:p w:rsidR="00C30B6D" w:rsidRPr="0027288A" w:rsidRDefault="00C30B6D" w:rsidP="0014177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b/>
          <w:sz w:val="24"/>
          <w:szCs w:val="24"/>
        </w:rPr>
        <w:t>6.1.</w:t>
      </w:r>
      <w:r w:rsidRPr="0027288A">
        <w:rPr>
          <w:rFonts w:ascii="Times New Roman" w:hAnsi="Times New Roman" w:cs="Times New Roman"/>
          <w:sz w:val="24"/>
          <w:szCs w:val="24"/>
        </w:rPr>
        <w:t xml:space="preserve"> </w:t>
      </w:r>
      <w:r w:rsidRPr="00183E92">
        <w:rPr>
          <w:rFonts w:ascii="Times New Roman" w:hAnsi="Times New Roman" w:cs="Times New Roman"/>
          <w:b/>
          <w:sz w:val="24"/>
          <w:szCs w:val="24"/>
        </w:rPr>
        <w:t>Основна цел</w:t>
      </w:r>
    </w:p>
    <w:p w:rsidR="00C30B6D" w:rsidRPr="0027288A" w:rsidRDefault="00C30B6D" w:rsidP="0014177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 xml:space="preserve">Основната цел на поръчката е подпомагане на община </w:t>
      </w:r>
      <w:r w:rsidR="0027288A">
        <w:rPr>
          <w:rFonts w:ascii="Times New Roman" w:hAnsi="Times New Roman" w:cs="Times New Roman"/>
          <w:sz w:val="24"/>
          <w:szCs w:val="24"/>
        </w:rPr>
        <w:t>Асеновград при разработването на про</w:t>
      </w:r>
      <w:r w:rsidRPr="0027288A">
        <w:rPr>
          <w:rFonts w:ascii="Times New Roman" w:hAnsi="Times New Roman" w:cs="Times New Roman"/>
          <w:sz w:val="24"/>
          <w:szCs w:val="24"/>
        </w:rPr>
        <w:t>ектно предложение за кандидатстване по ОПОС 2014-202</w:t>
      </w:r>
      <w:r w:rsidR="0027288A">
        <w:rPr>
          <w:rFonts w:ascii="Times New Roman" w:hAnsi="Times New Roman" w:cs="Times New Roman"/>
          <w:sz w:val="24"/>
          <w:szCs w:val="24"/>
        </w:rPr>
        <w:t>0 за изграждането на компостира</w:t>
      </w:r>
      <w:r w:rsidRPr="0027288A">
        <w:rPr>
          <w:rFonts w:ascii="Times New Roman" w:hAnsi="Times New Roman" w:cs="Times New Roman"/>
          <w:sz w:val="24"/>
          <w:szCs w:val="24"/>
        </w:rPr>
        <w:t>ща инсталация за разделно събрани зелени и/или биоразградими битови отпадъци съобразно</w:t>
      </w:r>
      <w:r w:rsidR="0027288A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изискванията на ОПОС посредством разработване на необходимите изискуеми документи за</w:t>
      </w:r>
      <w:r w:rsidR="0027288A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кандидатстване по ОПОС. Изпълнението на поръчката следва да се извърши съгласно</w:t>
      </w:r>
      <w:r w:rsidR="0027288A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приложената Техническа спецификация.</w:t>
      </w:r>
    </w:p>
    <w:p w:rsidR="00C30B6D" w:rsidRPr="0027288A" w:rsidRDefault="00C30B6D" w:rsidP="0014177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b/>
          <w:sz w:val="24"/>
          <w:szCs w:val="24"/>
        </w:rPr>
        <w:t>6.2.</w:t>
      </w:r>
      <w:r w:rsidRPr="0027288A">
        <w:rPr>
          <w:rFonts w:ascii="Times New Roman" w:hAnsi="Times New Roman" w:cs="Times New Roman"/>
          <w:sz w:val="24"/>
          <w:szCs w:val="24"/>
        </w:rPr>
        <w:t xml:space="preserve"> </w:t>
      </w:r>
      <w:r w:rsidRPr="00183E92">
        <w:rPr>
          <w:rFonts w:ascii="Times New Roman" w:hAnsi="Times New Roman" w:cs="Times New Roman"/>
          <w:b/>
          <w:sz w:val="24"/>
          <w:szCs w:val="24"/>
        </w:rPr>
        <w:t>Специфични цели</w:t>
      </w:r>
    </w:p>
    <w:p w:rsidR="00C30B6D" w:rsidRPr="0027288A" w:rsidRDefault="00C30B6D" w:rsidP="0014177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Специфичн</w:t>
      </w:r>
      <w:r w:rsidR="0027288A">
        <w:rPr>
          <w:rFonts w:ascii="Times New Roman" w:hAnsi="Times New Roman" w:cs="Times New Roman"/>
          <w:sz w:val="24"/>
          <w:szCs w:val="24"/>
        </w:rPr>
        <w:t>а</w:t>
      </w:r>
      <w:r w:rsidRPr="0027288A">
        <w:rPr>
          <w:rFonts w:ascii="Times New Roman" w:hAnsi="Times New Roman" w:cs="Times New Roman"/>
          <w:sz w:val="24"/>
          <w:szCs w:val="24"/>
        </w:rPr>
        <w:t xml:space="preserve"> цел на поръчката е да се подготвят необходимите документи за постигане на</w:t>
      </w:r>
      <w:r w:rsidR="0027288A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 xml:space="preserve">проектна готовност на община </w:t>
      </w:r>
      <w:r w:rsidR="0027288A">
        <w:rPr>
          <w:rFonts w:ascii="Times New Roman" w:hAnsi="Times New Roman" w:cs="Times New Roman"/>
          <w:sz w:val="24"/>
          <w:szCs w:val="24"/>
        </w:rPr>
        <w:t>Асеновград</w:t>
      </w:r>
      <w:r w:rsidRPr="0027288A">
        <w:rPr>
          <w:rFonts w:ascii="Times New Roman" w:hAnsi="Times New Roman" w:cs="Times New Roman"/>
          <w:sz w:val="24"/>
          <w:szCs w:val="24"/>
        </w:rPr>
        <w:t xml:space="preserve"> за кандидатстване по процедура чрез конкурентен</w:t>
      </w:r>
      <w:r w:rsidR="0027288A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 xml:space="preserve">подбор за избор на проектни предложения за проектиране </w:t>
      </w:r>
      <w:r w:rsidRPr="0027288A">
        <w:rPr>
          <w:rFonts w:ascii="Times New Roman" w:hAnsi="Times New Roman" w:cs="Times New Roman"/>
          <w:sz w:val="24"/>
          <w:szCs w:val="24"/>
        </w:rPr>
        <w:lastRenderedPageBreak/>
        <w:t xml:space="preserve">и изграждане </w:t>
      </w:r>
      <w:r w:rsidRPr="0014177B">
        <w:rPr>
          <w:rFonts w:ascii="Times New Roman" w:hAnsi="Times New Roman" w:cs="Times New Roman"/>
          <w:sz w:val="24"/>
          <w:szCs w:val="24"/>
        </w:rPr>
        <w:t>на компостиращи</w:t>
      </w:r>
      <w:r w:rsidR="00441BF2" w:rsidRPr="0014177B">
        <w:rPr>
          <w:rFonts w:ascii="Times New Roman" w:hAnsi="Times New Roman" w:cs="Times New Roman"/>
          <w:sz w:val="24"/>
          <w:szCs w:val="24"/>
        </w:rPr>
        <w:t xml:space="preserve"> </w:t>
      </w:r>
      <w:r w:rsidRPr="0014177B">
        <w:rPr>
          <w:rFonts w:ascii="Times New Roman" w:hAnsi="Times New Roman" w:cs="Times New Roman"/>
          <w:sz w:val="24"/>
          <w:szCs w:val="24"/>
        </w:rPr>
        <w:t>инсталации за разделно</w:t>
      </w:r>
      <w:r w:rsidRPr="0027288A">
        <w:rPr>
          <w:rFonts w:ascii="Times New Roman" w:hAnsi="Times New Roman" w:cs="Times New Roman"/>
          <w:sz w:val="24"/>
          <w:szCs w:val="24"/>
        </w:rPr>
        <w:t xml:space="preserve"> събрани зелени и/или биоразградими отпадъци, вкл осигуряване на</w:t>
      </w:r>
      <w:r w:rsidR="00441BF2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необходимото оборудване и на съоръжения и техника за ра</w:t>
      </w:r>
      <w:r w:rsidR="00441BF2">
        <w:rPr>
          <w:rFonts w:ascii="Times New Roman" w:hAnsi="Times New Roman" w:cs="Times New Roman"/>
          <w:sz w:val="24"/>
          <w:szCs w:val="24"/>
        </w:rPr>
        <w:t>зделно събиране на зелени и био</w:t>
      </w:r>
      <w:r w:rsidRPr="0027288A">
        <w:rPr>
          <w:rFonts w:ascii="Times New Roman" w:hAnsi="Times New Roman" w:cs="Times New Roman"/>
          <w:sz w:val="24"/>
          <w:szCs w:val="24"/>
        </w:rPr>
        <w:t>разградими отпадъци, финансирани по ОПОС.</w:t>
      </w:r>
    </w:p>
    <w:p w:rsidR="00441BF2" w:rsidRDefault="00441BF2" w:rsidP="0027288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B6D" w:rsidRDefault="00C30B6D" w:rsidP="00315C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F2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441BF2">
        <w:rPr>
          <w:rFonts w:ascii="Times New Roman" w:hAnsi="Times New Roman" w:cs="Times New Roman"/>
          <w:b/>
          <w:sz w:val="24"/>
          <w:szCs w:val="24"/>
        </w:rPr>
        <w:t>ОБЩИ ИЗИСКВАНИЯ КЪМ УЧАСТНИЦИТЕ</w:t>
      </w:r>
    </w:p>
    <w:p w:rsidR="00315C76" w:rsidRPr="00315C76" w:rsidRDefault="00315C76" w:rsidP="00183E92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5C76">
        <w:rPr>
          <w:rFonts w:ascii="Times New Roman" w:hAnsi="Times New Roman" w:cs="Times New Roman"/>
          <w:sz w:val="24"/>
          <w:szCs w:val="24"/>
        </w:rPr>
        <w:t xml:space="preserve">В настоящата процедура за възлагане на обществена поръчка може да участва всяко лице, което отговаря на предварително обявените условия. </w:t>
      </w:r>
    </w:p>
    <w:p w:rsidR="00315C76" w:rsidRPr="00315C76" w:rsidRDefault="00315C76" w:rsidP="00183E92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5C76">
        <w:rPr>
          <w:rFonts w:ascii="Times New Roman" w:hAnsi="Times New Roman" w:cs="Times New Roman"/>
          <w:sz w:val="24"/>
          <w:szCs w:val="24"/>
        </w:rPr>
        <w:t xml:space="preserve">Всеки участник в процедурата има право да представи само една оферта и само за пълния обем на съответната обособена позиция на поръчката. </w:t>
      </w:r>
    </w:p>
    <w:p w:rsidR="00315C76" w:rsidRPr="00315C76" w:rsidRDefault="00315C76" w:rsidP="00183E92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5C76">
        <w:rPr>
          <w:rFonts w:ascii="Times New Roman" w:hAnsi="Times New Roman" w:cs="Times New Roman"/>
          <w:sz w:val="24"/>
          <w:szCs w:val="24"/>
        </w:rPr>
        <w:t xml:space="preserve">Не се предоставя възможност за представяне на варианти в офертите. </w:t>
      </w:r>
    </w:p>
    <w:p w:rsidR="00315C76" w:rsidRPr="00315C76" w:rsidRDefault="00315C76" w:rsidP="00183E92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5C76">
        <w:rPr>
          <w:rFonts w:ascii="Times New Roman" w:hAnsi="Times New Roman" w:cs="Times New Roman"/>
          <w:sz w:val="24"/>
          <w:szCs w:val="24"/>
        </w:rPr>
        <w:t xml:space="preserve">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</w:t>
      </w:r>
    </w:p>
    <w:p w:rsidR="00315C76" w:rsidRPr="00315C76" w:rsidRDefault="00315C76" w:rsidP="00183E92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5C76">
        <w:rPr>
          <w:rFonts w:ascii="Times New Roman" w:hAnsi="Times New Roman" w:cs="Times New Roman"/>
          <w:sz w:val="24"/>
          <w:szCs w:val="24"/>
        </w:rPr>
        <w:t xml:space="preserve">В процедура за възлагане на обществена поръчка едно физическо или юридическо лице може да участва само в едно обединение. </w:t>
      </w:r>
    </w:p>
    <w:p w:rsidR="00315C76" w:rsidRPr="00315C76" w:rsidRDefault="00315C76" w:rsidP="00183E92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5C76">
        <w:rPr>
          <w:rFonts w:ascii="Times New Roman" w:hAnsi="Times New Roman" w:cs="Times New Roman"/>
          <w:sz w:val="24"/>
          <w:szCs w:val="24"/>
        </w:rPr>
        <w:t xml:space="preserve">За да бъде допуснат до участие в процедурата, участникът трябва да отговаря на предварително обявените условия в обявлението за обществена поръчка и документацията за участие, както и да представи всички изискуеми документи, изготвени съгласно условията на настоящата документация. </w:t>
      </w:r>
    </w:p>
    <w:p w:rsidR="00315C76" w:rsidRPr="00315C76" w:rsidRDefault="00315C76" w:rsidP="00183E92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5C76">
        <w:rPr>
          <w:rFonts w:ascii="Times New Roman" w:hAnsi="Times New Roman" w:cs="Times New Roman"/>
          <w:sz w:val="24"/>
          <w:szCs w:val="24"/>
        </w:rPr>
        <w:t>Представянето на оферта за участие в настоящата процедура, задължава участника да приеме напълно всички изисквания и условия, посочени в тези указания и документацията за участие, при спазване на Закона за обществените поръчки. Поставянето на различни от тези условия и изисквания от страна на участника не ангажира по никакъв начин Възложителя.</w:t>
      </w:r>
    </w:p>
    <w:p w:rsidR="00315C76" w:rsidRPr="00315C76" w:rsidRDefault="00315C76" w:rsidP="00183E92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5C76">
        <w:rPr>
          <w:rFonts w:ascii="Times New Roman" w:hAnsi="Times New Roman" w:cs="Times New Roman"/>
          <w:sz w:val="24"/>
          <w:szCs w:val="24"/>
        </w:rPr>
        <w:t xml:space="preserve">Възложителят отстранява от участие в процедурата за възлагане на обществена поръчка участник: </w:t>
      </w:r>
    </w:p>
    <w:p w:rsidR="00315C76" w:rsidRPr="00315C76" w:rsidRDefault="00315C76" w:rsidP="00183E92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5C76">
        <w:rPr>
          <w:rFonts w:ascii="Times New Roman" w:hAnsi="Times New Roman" w:cs="Times New Roman"/>
          <w:sz w:val="24"/>
          <w:szCs w:val="24"/>
        </w:rPr>
        <w:t xml:space="preserve">- за когото е налице някое от обстоятелствата по чл. 47, ал. 1, ал. 2, т. 1, 2а и 5 и ал. 5 от ЗОП; </w:t>
      </w:r>
    </w:p>
    <w:p w:rsidR="00315C76" w:rsidRPr="00315C76" w:rsidRDefault="00315C76" w:rsidP="00183E92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5C76">
        <w:rPr>
          <w:rFonts w:ascii="Times New Roman" w:hAnsi="Times New Roman" w:cs="Times New Roman"/>
          <w:sz w:val="24"/>
          <w:szCs w:val="24"/>
        </w:rPr>
        <w:t xml:space="preserve">- който не е представил някой от необходимите документи или информация по чл. 56 от ЗОП, в т.ч. и основанията по чл. 58, ал. 3 и чл. 62а от ЗОП. </w:t>
      </w:r>
    </w:p>
    <w:p w:rsidR="00315C76" w:rsidRPr="00315C76" w:rsidRDefault="00315C76" w:rsidP="00183E92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5C76">
        <w:rPr>
          <w:rFonts w:ascii="Times New Roman" w:hAnsi="Times New Roman" w:cs="Times New Roman"/>
          <w:sz w:val="24"/>
          <w:szCs w:val="24"/>
        </w:rPr>
        <w:t xml:space="preserve">- който е представил оферта, която не отговаря на предварително обявените условия на възложителя; </w:t>
      </w:r>
    </w:p>
    <w:p w:rsidR="00315C76" w:rsidRPr="00315C76" w:rsidRDefault="00315C76" w:rsidP="00183E92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5C76">
        <w:rPr>
          <w:rFonts w:ascii="Times New Roman" w:hAnsi="Times New Roman" w:cs="Times New Roman"/>
          <w:sz w:val="24"/>
          <w:szCs w:val="24"/>
        </w:rPr>
        <w:t xml:space="preserve">- който е представил оферта, която не отговаря на изискванията на чл. 57, ал. 2 от ЗОП; </w:t>
      </w:r>
    </w:p>
    <w:p w:rsidR="00315C76" w:rsidRPr="00315C76" w:rsidRDefault="00315C76" w:rsidP="00183E92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5C76">
        <w:rPr>
          <w:rFonts w:ascii="Times New Roman" w:hAnsi="Times New Roman" w:cs="Times New Roman"/>
          <w:sz w:val="24"/>
          <w:szCs w:val="24"/>
        </w:rPr>
        <w:t xml:space="preserve">- за когото по реда на чл. 68, ал. 11 от ЗОП се установи, че е представил невярна информация за доказване на съответствието му с обявените критерии за подбор, включително и изискването по чл. 49 от ЗОП. </w:t>
      </w:r>
    </w:p>
    <w:p w:rsidR="00315C76" w:rsidRPr="00315C76" w:rsidRDefault="00315C76" w:rsidP="00183E92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15C76" w:rsidRPr="00315C76" w:rsidRDefault="00315C76" w:rsidP="00183E92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5C76">
        <w:rPr>
          <w:rFonts w:ascii="Times New Roman" w:hAnsi="Times New Roman" w:cs="Times New Roman"/>
          <w:sz w:val="24"/>
          <w:szCs w:val="24"/>
        </w:rPr>
        <w:t xml:space="preserve">Съгласно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(ЗИФОДРЮПДРСТЛТДС), на дружествата, регистрирани в юрисдикции с преференциален данъчен режим, и на свързаните с тях лица се забранява пряко или косвено участие в процедура по реда на ЗОП, включително и чрез гражданско дружество/консорциум, в което участва дружеството, регистрирано в юрисдикции с преференциален данъчен режим, освен ако са налице изключенията по чл. 4 от ЗИФОДРЮПДРСТЛТДС. </w:t>
      </w:r>
    </w:p>
    <w:p w:rsidR="00212DFF" w:rsidRDefault="00315C76" w:rsidP="00183E92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15C76">
        <w:rPr>
          <w:rFonts w:ascii="Times New Roman" w:hAnsi="Times New Roman" w:cs="Times New Roman"/>
          <w:sz w:val="24"/>
          <w:szCs w:val="24"/>
        </w:rPr>
        <w:t>Срокът на валидност на офертата е определен на 180 (сто и осемдесет) дни от датата, която е посочена за дата на получаване на офертата, и представлява времето, през което участникът е обвързан с условията на предложението си.</w:t>
      </w:r>
    </w:p>
    <w:p w:rsidR="00315C76" w:rsidRPr="0027288A" w:rsidRDefault="00315C76" w:rsidP="00315C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0B6D" w:rsidRDefault="00183E92" w:rsidP="00183E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F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30B6D" w:rsidRPr="00212DF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C30B6D" w:rsidRPr="00212DFF">
        <w:rPr>
          <w:rFonts w:ascii="Times New Roman" w:hAnsi="Times New Roman" w:cs="Times New Roman"/>
          <w:b/>
          <w:sz w:val="24"/>
          <w:szCs w:val="24"/>
        </w:rPr>
        <w:t>УКАЗАНИЯ ЗА ПОДГОТОВКА И ПРЕДСТАВЯНЕ НА ОФЕРТАТА</w:t>
      </w:r>
    </w:p>
    <w:p w:rsidR="00315C76" w:rsidRDefault="00315C76" w:rsidP="00315C76">
      <w:pPr>
        <w:pStyle w:val="Default"/>
        <w:ind w:firstLine="284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1. Указания за подготовка на офертата. Съдържание и представяне на офертата. </w:t>
      </w:r>
    </w:p>
    <w:p w:rsidR="00315C76" w:rsidRDefault="00315C76" w:rsidP="00315C7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Офертата трябва да бъде изготвена в съответствие с изискванията на ЗОП и настоящите указания. </w:t>
      </w:r>
    </w:p>
    <w:p w:rsidR="00315C76" w:rsidRDefault="00315C76" w:rsidP="00315C76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участие на обединение, което не е юридическо лице, в офертата се представя заверено копие на договора за обединение,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представляващият. В договора или в допълнително споразумение/анекс към него, трябва да е посочено кои от членовете на обединението ще извършват дейността, предмет на поръчката. След подаване на офертата в състава на обединението не следва да се извършват промени. </w:t>
      </w:r>
    </w:p>
    <w:p w:rsidR="00315C76" w:rsidRDefault="00315C76" w:rsidP="00315C76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Договорът или допълнителното споразумение/анекс към него трябва да съдържа и клауза, съгласно която всички членове на обединението са отговорни солидарно - заедно и поотделно, за изпълнението на обществената поръчка. </w:t>
      </w:r>
    </w:p>
    <w:p w:rsidR="00315C76" w:rsidRDefault="00315C76" w:rsidP="00315C76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участие на обединение, което не е юридическо лице, съответствието с критериите за подбор се доказва от един или повече от участниците в обединението. </w:t>
      </w:r>
    </w:p>
    <w:p w:rsidR="00315C76" w:rsidRDefault="00315C76" w:rsidP="00315C76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случай, че избраният за изпълнител участник е обединение, което не е юридическо лице, възложителят, с оглед предоставената му правна възможност в чл. 25, ал. 3, т. 2 от ЗОП, не поставя изискване за създаване на юридическо лице. </w:t>
      </w:r>
    </w:p>
    <w:p w:rsidR="00315C76" w:rsidRDefault="00315C76" w:rsidP="00315C76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Когато участникът предвижда участие на подизпълнители при изпълнение на поръчката, за всеки един от посочените подизпълнители задължително се представя декларация за съгласие за участие като подизпълнител по образеца от документацията </w:t>
      </w:r>
      <w:r w:rsidRPr="002F65D1">
        <w:rPr>
          <w:color w:val="auto"/>
          <w:sz w:val="23"/>
          <w:szCs w:val="23"/>
        </w:rPr>
        <w:t>(Приложение № 7),</w:t>
      </w:r>
      <w:r>
        <w:rPr>
          <w:color w:val="auto"/>
          <w:sz w:val="23"/>
          <w:szCs w:val="23"/>
        </w:rPr>
        <w:t xml:space="preserve"> която се представя в плик №1. </w:t>
      </w:r>
    </w:p>
    <w:p w:rsidR="00315C76" w:rsidRDefault="00315C76" w:rsidP="00315C76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възлагане на работи на подизпълнител, участникът приема, че отговаря за действията, бездействията и работата на съответния подизпълнител като за свои действия, бездействия и работа. </w:t>
      </w:r>
    </w:p>
    <w:p w:rsidR="00315C76" w:rsidRDefault="00315C76" w:rsidP="00315C76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Всички документи и декларации трябва да бъдат попълнени на български език и оформени в съответствие с приложените към документацията образци, чиито условия са задължителни за участниците и не могат да бъдат променяни. </w:t>
      </w:r>
    </w:p>
    <w:p w:rsidR="00315C76" w:rsidRDefault="00315C76" w:rsidP="00315C76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Некоректно попълнени документи и декларации, при които липсва пълната информация, изисквана от възложителя, е основание за отстраняване от участие в процедурата. </w:t>
      </w:r>
    </w:p>
    <w:p w:rsidR="00315C76" w:rsidRDefault="00315C76" w:rsidP="00315C76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подаване на офертата участникът може да посочи коя част от нея има конфиденциален характер и да изисква от възложителя да не я разкрива. В този случай, в офертата се прилага декларация по чл. 33, ал. 4 от ЗОП. Възложителят няма право да разкрива информация, предоставена му участници, посочена от тях като конфиденциална по отношение на технически или търговски тайни, с изключение на случаите по чл. 44 от ЗОП. </w:t>
      </w:r>
    </w:p>
    <w:p w:rsidR="00315C76" w:rsidRDefault="00315C76" w:rsidP="00315C76">
      <w:pPr>
        <w:pStyle w:val="Default"/>
        <w:ind w:firstLine="284"/>
        <w:jc w:val="both"/>
        <w:rPr>
          <w:color w:val="auto"/>
          <w:sz w:val="23"/>
          <w:szCs w:val="23"/>
        </w:rPr>
      </w:pPr>
    </w:p>
    <w:p w:rsidR="00C30B6D" w:rsidRPr="00315C76" w:rsidRDefault="00C30B6D" w:rsidP="0027288A">
      <w:pPr>
        <w:pStyle w:val="NoSpacing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15C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</w:t>
      </w:r>
      <w:r w:rsidRPr="00315C76">
        <w:rPr>
          <w:rFonts w:ascii="Times New Roman" w:hAnsi="Times New Roman" w:cs="Times New Roman"/>
          <w:b/>
          <w:i/>
          <w:sz w:val="24"/>
          <w:szCs w:val="24"/>
        </w:rPr>
        <w:t>Изисквания към съдържанието на офертата</w:t>
      </w:r>
      <w:r w:rsidRPr="00315C76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15C76" w:rsidRDefault="00315C76" w:rsidP="00315C76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Офертата се представя в запечатан непрозрачен плик, съдържащ три отделни запечатани непрозрачни и надписани плика, както следва: </w:t>
      </w:r>
    </w:p>
    <w:p w:rsidR="00C30B6D" w:rsidRPr="0027288A" w:rsidRDefault="00C30B6D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Плик № 1 „Документи за подбор”</w:t>
      </w:r>
      <w:r w:rsidRPr="0027288A">
        <w:rPr>
          <w:rFonts w:ascii="Times New Roman" w:hAnsi="Times New Roman" w:cs="Times New Roman"/>
          <w:sz w:val="24"/>
          <w:szCs w:val="24"/>
        </w:rPr>
        <w:t>, в който се поставят следните документи:</w:t>
      </w:r>
    </w:p>
    <w:p w:rsidR="0043147F" w:rsidRDefault="0043147F" w:rsidP="0043147F">
      <w:pPr>
        <w:pStyle w:val="Default"/>
        <w:spacing w:after="39"/>
        <w:ind w:firstLine="284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Списък на документите и информацията, </w:t>
      </w:r>
      <w:r>
        <w:rPr>
          <w:color w:val="auto"/>
          <w:sz w:val="23"/>
          <w:szCs w:val="23"/>
        </w:rPr>
        <w:t xml:space="preserve">съдържащи се в офертата (пликове 1, 2 и 3), подписан от участника. Желателно е, в списъка да се посочат брой страници за всеки представен документ, както и дали документът се представя в оригинал, заверено копие или нотариално заверено копие. </w:t>
      </w:r>
    </w:p>
    <w:p w:rsidR="0043147F" w:rsidRDefault="0043147F" w:rsidP="0043147F">
      <w:pPr>
        <w:pStyle w:val="Default"/>
        <w:spacing w:after="39"/>
        <w:ind w:firstLine="284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 Представяне на участника</w:t>
      </w:r>
      <w:r>
        <w:rPr>
          <w:color w:val="auto"/>
          <w:sz w:val="23"/>
          <w:szCs w:val="23"/>
        </w:rPr>
        <w:t xml:space="preserve">, изготвен в съответствие с образеца от документацията за </w:t>
      </w:r>
      <w:r w:rsidRPr="002F65D1">
        <w:rPr>
          <w:color w:val="auto"/>
          <w:sz w:val="23"/>
          <w:szCs w:val="23"/>
        </w:rPr>
        <w:t>участие (Приложение № 1) което</w:t>
      </w:r>
      <w:r>
        <w:rPr>
          <w:color w:val="auto"/>
          <w:sz w:val="23"/>
          <w:szCs w:val="23"/>
        </w:rPr>
        <w:t xml:space="preserve"> включва: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установен;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адрес, включително електронен, за кореспонденция при провеждането на процедурата;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декларация по чл. 47, ал. 9 от ЗОП, изготвена в съответствие с образеца от документацията за </w:t>
      </w:r>
      <w:r w:rsidRPr="002F65D1">
        <w:rPr>
          <w:color w:val="auto"/>
          <w:sz w:val="23"/>
          <w:szCs w:val="23"/>
        </w:rPr>
        <w:t>участие (Приложение № 4). Декларацията</w:t>
      </w:r>
      <w:r>
        <w:rPr>
          <w:color w:val="auto"/>
          <w:sz w:val="23"/>
          <w:szCs w:val="23"/>
        </w:rPr>
        <w:t xml:space="preserve"> по чл. 47, ал. 9 от ЗОП се представя от лицата, които представляват участника, съобразено с чл. 47, ал. 4 от ЗОП.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Когато участник в процедурата е обединение, което не е юридическо лице, документите по букви „а“, „б“ и „в“ се представят за всяко физическо или юридическо лице, включено в обединението.</w:t>
      </w:r>
    </w:p>
    <w:p w:rsidR="0043147F" w:rsidRDefault="0043147F" w:rsidP="0043147F">
      <w:pPr>
        <w:pStyle w:val="Default"/>
        <w:spacing w:after="43"/>
        <w:ind w:firstLine="284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При участници обединения – заверено копие на договора за обединение, </w:t>
      </w:r>
      <w:r>
        <w:rPr>
          <w:color w:val="auto"/>
          <w:sz w:val="23"/>
          <w:szCs w:val="23"/>
        </w:rPr>
        <w:t>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представляващият. Договорът следва да бъде съобразен с условията, поставени в т</w:t>
      </w:r>
      <w:r w:rsidRPr="00F14220">
        <w:rPr>
          <w:color w:val="auto"/>
          <w:sz w:val="23"/>
          <w:szCs w:val="23"/>
        </w:rPr>
        <w:t xml:space="preserve">. </w:t>
      </w:r>
      <w:r w:rsidR="000370CE">
        <w:rPr>
          <w:i/>
          <w:iCs/>
          <w:color w:val="auto"/>
          <w:sz w:val="23"/>
          <w:szCs w:val="23"/>
        </w:rPr>
        <w:t>1</w:t>
      </w:r>
      <w:r w:rsidRPr="00F14220">
        <w:rPr>
          <w:i/>
          <w:iCs/>
          <w:color w:val="auto"/>
          <w:sz w:val="23"/>
          <w:szCs w:val="23"/>
        </w:rPr>
        <w:t>. Указания за подготовка на офертата. Съдържание и представяне на офертата.</w:t>
      </w:r>
      <w:r>
        <w:rPr>
          <w:i/>
          <w:iCs/>
          <w:color w:val="auto"/>
          <w:sz w:val="23"/>
          <w:szCs w:val="23"/>
        </w:rPr>
        <w:t xml:space="preserve">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Оригинал на банкова гаранция за участие или копие от документа за внесена гаранция под формата на парична сума, </w:t>
      </w:r>
      <w:r>
        <w:rPr>
          <w:color w:val="auto"/>
          <w:sz w:val="23"/>
          <w:szCs w:val="23"/>
        </w:rPr>
        <w:t xml:space="preserve">за сумата </w:t>
      </w:r>
      <w:r w:rsidRPr="008E105F">
        <w:rPr>
          <w:color w:val="auto"/>
          <w:sz w:val="23"/>
          <w:szCs w:val="23"/>
        </w:rPr>
        <w:t xml:space="preserve">от </w:t>
      </w:r>
      <w:r w:rsidR="008E105F" w:rsidRPr="008E105F">
        <w:rPr>
          <w:b/>
          <w:color w:val="auto"/>
          <w:sz w:val="23"/>
          <w:szCs w:val="23"/>
        </w:rPr>
        <w:t>2</w:t>
      </w:r>
      <w:r w:rsidR="00224D5A">
        <w:rPr>
          <w:b/>
          <w:color w:val="auto"/>
          <w:sz w:val="23"/>
          <w:szCs w:val="23"/>
        </w:rPr>
        <w:t>0</w:t>
      </w:r>
      <w:r w:rsidRPr="008E105F">
        <w:rPr>
          <w:b/>
          <w:bCs/>
          <w:color w:val="auto"/>
          <w:sz w:val="23"/>
          <w:szCs w:val="23"/>
        </w:rPr>
        <w:t xml:space="preserve">00 лв. </w:t>
      </w:r>
      <w:r w:rsidRPr="008E105F">
        <w:rPr>
          <w:color w:val="auto"/>
          <w:sz w:val="23"/>
          <w:szCs w:val="23"/>
        </w:rPr>
        <w:t>(</w:t>
      </w:r>
      <w:r w:rsidR="008E105F" w:rsidRPr="008E105F">
        <w:rPr>
          <w:color w:val="auto"/>
          <w:sz w:val="23"/>
          <w:szCs w:val="23"/>
        </w:rPr>
        <w:t xml:space="preserve">две хиляди </w:t>
      </w:r>
      <w:r w:rsidRPr="008E105F">
        <w:rPr>
          <w:color w:val="auto"/>
          <w:sz w:val="23"/>
          <w:szCs w:val="23"/>
        </w:rPr>
        <w:t>лева). Когато участникът е обединение, което не е юридическо лице, всеки от съдружниците в него може да е наредител по банковата гаранция</w:t>
      </w:r>
      <w:r>
        <w:rPr>
          <w:color w:val="auto"/>
          <w:sz w:val="23"/>
          <w:szCs w:val="23"/>
        </w:rPr>
        <w:t>, съответно вн</w:t>
      </w:r>
      <w:r w:rsidR="00224D5A">
        <w:rPr>
          <w:color w:val="auto"/>
          <w:sz w:val="23"/>
          <w:szCs w:val="23"/>
        </w:rPr>
        <w:t>осител на сумата по гаранцията.</w:t>
      </w:r>
    </w:p>
    <w:p w:rsidR="00224D5A" w:rsidRDefault="00224D5A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</w:p>
    <w:p w:rsidR="0043147F" w:rsidRDefault="0043147F" w:rsidP="0043147F">
      <w:pPr>
        <w:pStyle w:val="Default"/>
        <w:ind w:firstLine="284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Когато се представя банкова гаранция, същата следва да бъде със срок на валидност не по-кратък от 180 (сто и осемдесет) дни от датата, посочена за дата на получаване на офертата, а условията за задържането и усвояването й, записани в нея, следва да бъдат съобразени с чл. 61, ал. 1 и 2 от ЗОП. </w:t>
      </w:r>
    </w:p>
    <w:p w:rsidR="0043147F" w:rsidRDefault="0043147F" w:rsidP="0043147F">
      <w:pPr>
        <w:pStyle w:val="Default"/>
        <w:spacing w:after="44"/>
        <w:ind w:firstLine="284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Декларация за липса на свързаност с друг участник в съответствие с чл. 55, ал. 7 от ЗОП, както и за липса на обстоятелство по чл. 8, ал. 8, т. 2 от ЗОП, </w:t>
      </w:r>
      <w:r>
        <w:rPr>
          <w:color w:val="auto"/>
          <w:sz w:val="23"/>
          <w:szCs w:val="23"/>
        </w:rPr>
        <w:t xml:space="preserve">изготвена по образеца от </w:t>
      </w:r>
      <w:r w:rsidRPr="002F65D1">
        <w:rPr>
          <w:color w:val="auto"/>
          <w:sz w:val="23"/>
          <w:szCs w:val="23"/>
        </w:rPr>
        <w:t>документацията (Приложение № 5).</w:t>
      </w:r>
      <w:r>
        <w:rPr>
          <w:color w:val="auto"/>
          <w:sz w:val="23"/>
          <w:szCs w:val="23"/>
        </w:rPr>
        <w:t xml:space="preserve">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6. Декларация по чл. 56, ал. 1, т. 8 от ЗОП за ползване/неползване на подизпълнители</w:t>
      </w:r>
      <w:r>
        <w:rPr>
          <w:color w:val="auto"/>
          <w:sz w:val="23"/>
          <w:szCs w:val="23"/>
        </w:rPr>
        <w:t xml:space="preserve">. В декларацията се посочват предвидените подизпълнители, видовете работи от предмета на поръчката, които ще се предложат на подизпълнителите, и съответстващият на тези работи дял в проценти от стойността на обществената поръчка. Декларацията следва да бъде изготвена по образеца от </w:t>
      </w:r>
      <w:r w:rsidRPr="002F65D1">
        <w:rPr>
          <w:color w:val="auto"/>
          <w:sz w:val="23"/>
          <w:szCs w:val="23"/>
        </w:rPr>
        <w:t>документацията (Приложение № 6).</w:t>
      </w:r>
      <w:r>
        <w:rPr>
          <w:color w:val="auto"/>
          <w:sz w:val="23"/>
          <w:szCs w:val="23"/>
        </w:rPr>
        <w:t xml:space="preserve">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Когато участникът предвижда участие на подизпълнители при изпълнението на поръчката, всеки един от посочените в декларацията подизпълнители задължително попълва декларацията за съгласие за участие като подизпълнител по образеца от </w:t>
      </w:r>
      <w:r w:rsidRPr="002F65D1">
        <w:rPr>
          <w:color w:val="auto"/>
          <w:sz w:val="23"/>
          <w:szCs w:val="23"/>
        </w:rPr>
        <w:t>документацията (Приложение № 7), която</w:t>
      </w:r>
      <w:r>
        <w:rPr>
          <w:color w:val="auto"/>
          <w:sz w:val="23"/>
          <w:szCs w:val="23"/>
        </w:rPr>
        <w:t xml:space="preserve"> също се представя в плик №1. </w:t>
      </w:r>
    </w:p>
    <w:p w:rsidR="0043147F" w:rsidRDefault="0043147F" w:rsidP="0043147F">
      <w:pPr>
        <w:pStyle w:val="Default"/>
        <w:spacing w:after="40"/>
        <w:ind w:firstLine="284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Декларация по чл. 56, ал. 1, т. 12 от ЗОП, </w:t>
      </w:r>
      <w:r>
        <w:rPr>
          <w:color w:val="auto"/>
          <w:sz w:val="23"/>
          <w:szCs w:val="23"/>
        </w:rPr>
        <w:t xml:space="preserve">изготвена по образеца от документацията </w:t>
      </w:r>
      <w:r w:rsidRPr="002F65D1">
        <w:rPr>
          <w:color w:val="auto"/>
          <w:sz w:val="23"/>
          <w:szCs w:val="23"/>
        </w:rPr>
        <w:t>(Приложение № 8).</w:t>
      </w:r>
      <w:r>
        <w:rPr>
          <w:color w:val="auto"/>
          <w:sz w:val="23"/>
          <w:szCs w:val="23"/>
        </w:rPr>
        <w:t xml:space="preserve"> </w:t>
      </w:r>
    </w:p>
    <w:p w:rsidR="00CF2C50" w:rsidRDefault="0043147F" w:rsidP="00CF2C50">
      <w:pPr>
        <w:pStyle w:val="Default"/>
        <w:spacing w:after="40"/>
        <w:ind w:firstLine="284"/>
        <w:jc w:val="both"/>
        <w:rPr>
          <w:color w:val="auto"/>
          <w:sz w:val="23"/>
          <w:szCs w:val="23"/>
          <w:lang w:val="en-US"/>
        </w:rPr>
      </w:pPr>
      <w:r>
        <w:rPr>
          <w:b/>
          <w:bCs/>
          <w:color w:val="auto"/>
          <w:sz w:val="23"/>
          <w:szCs w:val="23"/>
        </w:rPr>
        <w:t xml:space="preserve">8. </w:t>
      </w:r>
      <w:r w:rsidRPr="009F16DB">
        <w:rPr>
          <w:b/>
          <w:color w:val="auto"/>
          <w:sz w:val="23"/>
          <w:szCs w:val="23"/>
        </w:rPr>
        <w:t>Декларация по чл. 3, т. 8 и чл. 4</w:t>
      </w:r>
      <w:r>
        <w:rPr>
          <w:color w:val="auto"/>
          <w:sz w:val="23"/>
          <w:szCs w:val="23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(ЗИФОДРЮПДРСТЛТДС), изготвена по образеца от </w:t>
      </w:r>
      <w:r w:rsidRPr="002F65D1">
        <w:rPr>
          <w:color w:val="auto"/>
          <w:sz w:val="23"/>
          <w:szCs w:val="23"/>
        </w:rPr>
        <w:t>документацията (Приложение № 9).</w:t>
      </w:r>
      <w:r>
        <w:rPr>
          <w:color w:val="auto"/>
          <w:sz w:val="23"/>
          <w:szCs w:val="23"/>
        </w:rPr>
        <w:t xml:space="preserve"> </w:t>
      </w:r>
    </w:p>
    <w:p w:rsidR="00C30B6D" w:rsidRPr="00CF2C50" w:rsidRDefault="00CF2C50" w:rsidP="00CF2C50">
      <w:pPr>
        <w:pStyle w:val="Default"/>
        <w:spacing w:after="40"/>
        <w:ind w:firstLine="284"/>
        <w:jc w:val="both"/>
        <w:rPr>
          <w:color w:val="auto"/>
          <w:sz w:val="23"/>
          <w:szCs w:val="23"/>
        </w:rPr>
      </w:pPr>
      <w:r w:rsidRPr="00CF2C50">
        <w:rPr>
          <w:b/>
          <w:bCs/>
          <w:sz w:val="23"/>
          <w:szCs w:val="23"/>
        </w:rPr>
        <w:t>9</w:t>
      </w:r>
      <w:r w:rsidR="00C30B6D" w:rsidRPr="00CF2C50">
        <w:rPr>
          <w:b/>
          <w:bCs/>
          <w:sz w:val="23"/>
          <w:szCs w:val="23"/>
        </w:rPr>
        <w:t>. Доказателства за икономическо и финансово състояние по чл. 50, ал. 1 от ЗОП:</w:t>
      </w:r>
    </w:p>
    <w:p w:rsidR="00CF2C50" w:rsidRDefault="00C30B6D" w:rsidP="00C11B04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88A">
        <w:rPr>
          <w:rFonts w:ascii="Times New Roman" w:hAnsi="Times New Roman" w:cs="Times New Roman"/>
          <w:sz w:val="24"/>
          <w:szCs w:val="24"/>
        </w:rPr>
        <w:t>Удостоверение от банка (за наличен финансов ресурс) и/или годишния финансов отчет или</w:t>
      </w:r>
      <w:r w:rsidR="002B66D6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някоя от съставните му части, когато публикуването им се изисква от законодателството на</w:t>
      </w:r>
      <w:r w:rsidR="002B66D6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държавата, в която участникът е установен.</w:t>
      </w:r>
    </w:p>
    <w:p w:rsidR="00C30B6D" w:rsidRPr="0027288A" w:rsidRDefault="00C30B6D" w:rsidP="00CF2C50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Участникът може да не представи годишен финансов отчет или някоя от съставните му</w:t>
      </w:r>
      <w:r w:rsidR="002B66D6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части, както и всеки друг документ, ако са публи</w:t>
      </w:r>
      <w:r w:rsidR="002B66D6">
        <w:rPr>
          <w:rFonts w:ascii="Times New Roman" w:hAnsi="Times New Roman" w:cs="Times New Roman"/>
          <w:sz w:val="24"/>
          <w:szCs w:val="24"/>
        </w:rPr>
        <w:t xml:space="preserve">кувани в публичен регистър </w:t>
      </w:r>
      <w:r w:rsidRPr="0027288A">
        <w:rPr>
          <w:rFonts w:ascii="Times New Roman" w:hAnsi="Times New Roman" w:cs="Times New Roman"/>
          <w:sz w:val="24"/>
          <w:szCs w:val="24"/>
        </w:rPr>
        <w:t>и участникът е посочил информац</w:t>
      </w:r>
      <w:r w:rsidR="00CF2C50">
        <w:rPr>
          <w:rFonts w:ascii="Times New Roman" w:hAnsi="Times New Roman" w:cs="Times New Roman"/>
          <w:sz w:val="24"/>
          <w:szCs w:val="24"/>
        </w:rPr>
        <w:t>ия за органа, който поддържа ре</w:t>
      </w:r>
      <w:r w:rsidRPr="0027288A">
        <w:rPr>
          <w:rFonts w:ascii="Times New Roman" w:hAnsi="Times New Roman" w:cs="Times New Roman"/>
          <w:sz w:val="24"/>
          <w:szCs w:val="24"/>
        </w:rPr>
        <w:t>гистъра.</w:t>
      </w:r>
    </w:p>
    <w:p w:rsidR="00C30B6D" w:rsidRPr="0027288A" w:rsidRDefault="00C30B6D" w:rsidP="00CF2C50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6D6">
        <w:rPr>
          <w:rFonts w:ascii="Times New Roman" w:hAnsi="Times New Roman" w:cs="Times New Roman"/>
          <w:b/>
          <w:i/>
          <w:sz w:val="24"/>
          <w:szCs w:val="24"/>
        </w:rPr>
        <w:t>Минимални изисквания</w:t>
      </w:r>
      <w:r w:rsidRPr="002B66D6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2728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Участникът трябва да докаже наличие на финансов ресурс,</w:t>
      </w:r>
      <w:r w:rsidR="002B66D6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 xml:space="preserve">необходим за изпълнение на поръчката в </w:t>
      </w:r>
      <w:r w:rsidRPr="008E105F">
        <w:rPr>
          <w:rFonts w:ascii="Times New Roman" w:hAnsi="Times New Roman" w:cs="Times New Roman"/>
          <w:sz w:val="24"/>
          <w:szCs w:val="24"/>
        </w:rPr>
        <w:t xml:space="preserve">размер на </w:t>
      </w:r>
      <w:r w:rsidR="008E105F" w:rsidRPr="008E105F">
        <w:rPr>
          <w:rFonts w:ascii="Times New Roman" w:hAnsi="Times New Roman" w:cs="Times New Roman"/>
          <w:sz w:val="24"/>
          <w:szCs w:val="24"/>
        </w:rPr>
        <w:t>1</w:t>
      </w:r>
      <w:r w:rsidR="00F33F4A">
        <w:rPr>
          <w:rFonts w:ascii="Times New Roman" w:hAnsi="Times New Roman" w:cs="Times New Roman"/>
          <w:sz w:val="24"/>
          <w:szCs w:val="24"/>
        </w:rPr>
        <w:t>0</w:t>
      </w:r>
      <w:r w:rsidRPr="008E105F">
        <w:rPr>
          <w:rFonts w:ascii="Times New Roman" w:hAnsi="Times New Roman" w:cs="Times New Roman"/>
          <w:sz w:val="24"/>
          <w:szCs w:val="24"/>
        </w:rPr>
        <w:t>0</w:t>
      </w:r>
      <w:r w:rsidR="008E105F">
        <w:rPr>
          <w:rFonts w:ascii="Times New Roman" w:hAnsi="Times New Roman" w:cs="Times New Roman"/>
          <w:sz w:val="24"/>
          <w:szCs w:val="24"/>
        </w:rPr>
        <w:t> </w:t>
      </w:r>
      <w:r w:rsidRPr="008E105F">
        <w:rPr>
          <w:rFonts w:ascii="Times New Roman" w:hAnsi="Times New Roman" w:cs="Times New Roman"/>
          <w:sz w:val="24"/>
          <w:szCs w:val="24"/>
        </w:rPr>
        <w:t>000</w:t>
      </w:r>
      <w:r w:rsidR="008E105F">
        <w:rPr>
          <w:rFonts w:ascii="Times New Roman" w:hAnsi="Times New Roman" w:cs="Times New Roman"/>
          <w:sz w:val="24"/>
          <w:szCs w:val="24"/>
        </w:rPr>
        <w:t>,00</w:t>
      </w:r>
      <w:r w:rsidRPr="008E105F">
        <w:rPr>
          <w:rFonts w:ascii="Times New Roman" w:hAnsi="Times New Roman" w:cs="Times New Roman"/>
          <w:sz w:val="24"/>
          <w:szCs w:val="24"/>
        </w:rPr>
        <w:t xml:space="preserve"> (</w:t>
      </w:r>
      <w:r w:rsidR="008E105F" w:rsidRPr="008E105F">
        <w:rPr>
          <w:rFonts w:ascii="Times New Roman" w:hAnsi="Times New Roman" w:cs="Times New Roman"/>
          <w:sz w:val="24"/>
          <w:szCs w:val="24"/>
        </w:rPr>
        <w:t xml:space="preserve">сто </w:t>
      </w:r>
      <w:r w:rsidRPr="008E105F">
        <w:rPr>
          <w:rFonts w:ascii="Times New Roman" w:hAnsi="Times New Roman" w:cs="Times New Roman"/>
          <w:sz w:val="24"/>
          <w:szCs w:val="24"/>
        </w:rPr>
        <w:t>хиляди) лв.</w:t>
      </w:r>
    </w:p>
    <w:p w:rsidR="00CF2C50" w:rsidRDefault="00CF2C50" w:rsidP="00CF2C50">
      <w:pPr>
        <w:pStyle w:val="Default"/>
        <w:spacing w:after="40"/>
        <w:ind w:firstLine="284"/>
        <w:jc w:val="both"/>
        <w:rPr>
          <w:b/>
          <w:bCs/>
          <w:sz w:val="23"/>
          <w:szCs w:val="23"/>
          <w:lang w:val="en-US"/>
        </w:rPr>
      </w:pPr>
      <w:r w:rsidRPr="00CF2C50">
        <w:rPr>
          <w:b/>
          <w:bCs/>
          <w:sz w:val="23"/>
          <w:szCs w:val="23"/>
        </w:rPr>
        <w:t>10</w:t>
      </w:r>
      <w:r w:rsidR="00C30B6D" w:rsidRPr="00CF2C50">
        <w:rPr>
          <w:b/>
          <w:bCs/>
          <w:sz w:val="23"/>
          <w:szCs w:val="23"/>
        </w:rPr>
        <w:t>. Доказателства за техническите възможности и/или квалификацията на участника</w:t>
      </w:r>
      <w:r w:rsidR="002B66D6" w:rsidRPr="00CF2C5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по чл. 51 от ЗОП</w:t>
      </w:r>
      <w:r w:rsidR="00C30B6D" w:rsidRPr="00CF2C50">
        <w:rPr>
          <w:b/>
          <w:bCs/>
          <w:sz w:val="23"/>
          <w:szCs w:val="23"/>
        </w:rPr>
        <w:t>:</w:t>
      </w:r>
    </w:p>
    <w:p w:rsidR="00CF2C50" w:rsidRDefault="00CF2C50" w:rsidP="00CF2C50">
      <w:pPr>
        <w:pStyle w:val="Default"/>
        <w:spacing w:after="40"/>
        <w:ind w:firstLine="284"/>
        <w:jc w:val="both"/>
      </w:pPr>
      <w:r w:rsidRPr="00CF2C50">
        <w:rPr>
          <w:b/>
          <w:lang w:val="en-US"/>
        </w:rPr>
        <w:lastRenderedPageBreak/>
        <w:t>10</w:t>
      </w:r>
      <w:r w:rsidR="00C30B6D" w:rsidRPr="00CF2C50">
        <w:rPr>
          <w:b/>
        </w:rPr>
        <w:t>.1.</w:t>
      </w:r>
      <w:r w:rsidR="00C30B6D" w:rsidRPr="0027288A">
        <w:t xml:space="preserve"> Списък-декларация на </w:t>
      </w:r>
      <w:r w:rsidR="00C30B6D" w:rsidRPr="002F65D1">
        <w:t>услугите (</w:t>
      </w:r>
      <w:r w:rsidRPr="002F65D1">
        <w:t>Приложение</w:t>
      </w:r>
      <w:r w:rsidR="00C30B6D" w:rsidRPr="002F65D1">
        <w:t xml:space="preserve"> №</w:t>
      </w:r>
      <w:r w:rsidR="007E68AD" w:rsidRPr="002F65D1">
        <w:t>10</w:t>
      </w:r>
      <w:r w:rsidR="00C30B6D" w:rsidRPr="002F65D1">
        <w:t>), които</w:t>
      </w:r>
      <w:r w:rsidR="00C30B6D" w:rsidRPr="0027288A">
        <w:t xml:space="preserve"> са</w:t>
      </w:r>
      <w:r w:rsidR="002B66D6">
        <w:t xml:space="preserve"> </w:t>
      </w:r>
      <w:r w:rsidR="00C30B6D" w:rsidRPr="0027288A">
        <w:t>еднакви или сходни* с предмета на обществената поръчка, изпълнени през последните</w:t>
      </w:r>
      <w:r w:rsidR="002B66D6">
        <w:t xml:space="preserve"> </w:t>
      </w:r>
      <w:r w:rsidR="00C30B6D" w:rsidRPr="0027288A">
        <w:t>три години, съгласно чл. 51, ал. 1, т. 1 от ЗОП, ведно с доказателства за извършената</w:t>
      </w:r>
      <w:r w:rsidR="002B66D6">
        <w:t xml:space="preserve"> </w:t>
      </w:r>
      <w:r w:rsidR="00C30B6D" w:rsidRPr="0027288A">
        <w:t>услуга, представени под формата на заверени о</w:t>
      </w:r>
      <w:r w:rsidR="002B66D6">
        <w:t>т участника копия на удостовере</w:t>
      </w:r>
      <w:r w:rsidR="00C30B6D" w:rsidRPr="0027288A">
        <w:t>ния / еквивалентни документи, издадени от получателя на услугата или от компетентен</w:t>
      </w:r>
      <w:r w:rsidR="002B66D6">
        <w:t xml:space="preserve"> </w:t>
      </w:r>
      <w:r w:rsidR="00C30B6D" w:rsidRPr="0027288A">
        <w:t xml:space="preserve">орган или посочване на публичен регистър, в който е </w:t>
      </w:r>
      <w:r w:rsidR="002B66D6">
        <w:t>публикувана информация за извър</w:t>
      </w:r>
      <w:r w:rsidR="00C30B6D" w:rsidRPr="0027288A">
        <w:t>шената услуга.</w:t>
      </w:r>
    </w:p>
    <w:p w:rsidR="00CF2C50" w:rsidRDefault="00C30B6D" w:rsidP="00CF2C50">
      <w:pPr>
        <w:pStyle w:val="Default"/>
        <w:spacing w:after="40"/>
        <w:ind w:firstLine="284"/>
        <w:jc w:val="both"/>
      </w:pPr>
      <w:r w:rsidRPr="002B66D6">
        <w:rPr>
          <w:b/>
          <w:i/>
        </w:rPr>
        <w:t>Минимални изисквания</w:t>
      </w:r>
      <w:r w:rsidRPr="002B66D6">
        <w:rPr>
          <w:b/>
          <w:i/>
          <w:iCs/>
        </w:rPr>
        <w:t>:</w:t>
      </w:r>
      <w:r w:rsidRPr="0027288A">
        <w:rPr>
          <w:i/>
          <w:iCs/>
        </w:rPr>
        <w:t xml:space="preserve"> </w:t>
      </w:r>
      <w:r w:rsidRPr="0027288A">
        <w:t>Участникът, самостоятелно или съвместно</w:t>
      </w:r>
      <w:r w:rsidR="00C11B04">
        <w:t xml:space="preserve"> (като подизпълнител или член на обединение)</w:t>
      </w:r>
      <w:r w:rsidRPr="0027288A">
        <w:t>, трябва да е изпълнил</w:t>
      </w:r>
      <w:r w:rsidR="002B66D6">
        <w:t xml:space="preserve"> </w:t>
      </w:r>
      <w:r w:rsidRPr="0027288A">
        <w:t>през последните 3 години, считано от датата на подаване на офертата, поне 1 услуга, която</w:t>
      </w:r>
      <w:r w:rsidR="002B66D6">
        <w:t xml:space="preserve"> </w:t>
      </w:r>
      <w:r w:rsidRPr="0027288A">
        <w:t>е еднаква или сходна с предмета на настоящата поръчка.</w:t>
      </w:r>
    </w:p>
    <w:p w:rsidR="00CF2C50" w:rsidRDefault="00C30B6D" w:rsidP="00CF2C50">
      <w:pPr>
        <w:pStyle w:val="Default"/>
        <w:spacing w:after="40"/>
        <w:ind w:firstLine="284"/>
        <w:jc w:val="both"/>
      </w:pPr>
      <w:r w:rsidRPr="0027288A">
        <w:t>*</w:t>
      </w:r>
      <w:r w:rsidRPr="002B66D6">
        <w:rPr>
          <w:b/>
          <w:i/>
        </w:rPr>
        <w:t>Под услуги, сходни с предмета на поръчката се считат:</w:t>
      </w:r>
      <w:r w:rsidRPr="0027288A">
        <w:t xml:space="preserve"> изготвяне на прединвестиционно</w:t>
      </w:r>
      <w:r w:rsidR="002B66D6">
        <w:t xml:space="preserve"> </w:t>
      </w:r>
      <w:r w:rsidRPr="0027288A">
        <w:t>проучване за инсталация и/или съоръжение за третиране на отпадъци и/или за подготовка</w:t>
      </w:r>
      <w:r w:rsidR="002B66D6">
        <w:t xml:space="preserve"> </w:t>
      </w:r>
      <w:r w:rsidRPr="0027288A">
        <w:t>на инвестиционно проектно предложение за управление на отпадъци.</w:t>
      </w:r>
    </w:p>
    <w:p w:rsidR="00CF2C50" w:rsidRDefault="00CF2C50" w:rsidP="00CF2C50">
      <w:pPr>
        <w:pStyle w:val="Default"/>
        <w:spacing w:after="40"/>
        <w:ind w:firstLine="284"/>
        <w:jc w:val="both"/>
      </w:pPr>
      <w:r w:rsidRPr="00CF2C50">
        <w:rPr>
          <w:b/>
          <w:lang w:val="en-US"/>
        </w:rPr>
        <w:t>10</w:t>
      </w:r>
      <w:r w:rsidR="00C30B6D" w:rsidRPr="00CF2C50">
        <w:rPr>
          <w:b/>
          <w:lang w:val="en-US"/>
        </w:rPr>
        <w:t xml:space="preserve">.2. </w:t>
      </w:r>
      <w:r w:rsidR="00C30B6D" w:rsidRPr="00CF2C50">
        <w:rPr>
          <w:lang w:val="en-US"/>
        </w:rPr>
        <w:t xml:space="preserve">Списък-декларация на </w:t>
      </w:r>
      <w:r w:rsidR="00C30B6D" w:rsidRPr="002F65D1">
        <w:rPr>
          <w:lang w:val="en-US"/>
        </w:rPr>
        <w:t>експертите</w:t>
      </w:r>
      <w:r w:rsidR="00C30B6D" w:rsidRPr="002F65D1">
        <w:t xml:space="preserve"> (</w:t>
      </w:r>
      <w:r w:rsidRPr="002F65D1">
        <w:t>Приложение</w:t>
      </w:r>
      <w:r w:rsidR="00C30B6D" w:rsidRPr="002F65D1">
        <w:t xml:space="preserve"> №1</w:t>
      </w:r>
      <w:r w:rsidR="007E68AD" w:rsidRPr="002F65D1">
        <w:t>1</w:t>
      </w:r>
      <w:r w:rsidR="00C30B6D" w:rsidRPr="002F65D1">
        <w:t>), които</w:t>
      </w:r>
      <w:r w:rsidR="002B66D6">
        <w:t xml:space="preserve"> </w:t>
      </w:r>
      <w:r w:rsidR="00C30B6D" w:rsidRPr="0027288A">
        <w:t>участникът ще използва за изпълнение на поръчката, в който се посочват образованието,</w:t>
      </w:r>
      <w:r w:rsidR="002B66D6">
        <w:t xml:space="preserve"> </w:t>
      </w:r>
      <w:r w:rsidR="00C30B6D" w:rsidRPr="0027288A">
        <w:t>професионалната квалификация и професионалния опит на лицата, включени в екипа от</w:t>
      </w:r>
      <w:r w:rsidR="002B66D6">
        <w:t xml:space="preserve"> </w:t>
      </w:r>
      <w:r w:rsidR="00C30B6D" w:rsidRPr="0027288A">
        <w:t>експерти на участника.</w:t>
      </w:r>
    </w:p>
    <w:p w:rsidR="00C30B6D" w:rsidRPr="00CF2C50" w:rsidRDefault="00C30B6D" w:rsidP="00CF2C50">
      <w:pPr>
        <w:pStyle w:val="Default"/>
        <w:spacing w:after="40"/>
        <w:ind w:firstLine="284"/>
        <w:jc w:val="both"/>
        <w:rPr>
          <w:b/>
          <w:bCs/>
          <w:sz w:val="23"/>
          <w:szCs w:val="23"/>
        </w:rPr>
      </w:pPr>
      <w:r w:rsidRPr="002B66D6">
        <w:rPr>
          <w:b/>
          <w:i/>
        </w:rPr>
        <w:t>Минимални изисквания</w:t>
      </w:r>
      <w:r w:rsidRPr="002B66D6">
        <w:rPr>
          <w:b/>
          <w:i/>
          <w:iCs/>
        </w:rPr>
        <w:t>:</w:t>
      </w:r>
      <w:r w:rsidR="002B66D6">
        <w:rPr>
          <w:b/>
          <w:i/>
          <w:iCs/>
        </w:rPr>
        <w:t xml:space="preserve"> </w:t>
      </w:r>
      <w:r w:rsidRPr="0027288A">
        <w:t>Участникът следва да осигури експерти, квалифицирани за изпълнение на поръчката,</w:t>
      </w:r>
      <w:r w:rsidR="002B66D6">
        <w:t xml:space="preserve"> </w:t>
      </w:r>
      <w:r w:rsidRPr="0027288A">
        <w:t>както следва:</w:t>
      </w:r>
    </w:p>
    <w:p w:rsidR="00C30B6D" w:rsidRPr="00CF2C50" w:rsidRDefault="00C30B6D" w:rsidP="00CF2C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C50">
        <w:rPr>
          <w:rFonts w:ascii="Times New Roman" w:hAnsi="Times New Roman" w:cs="Times New Roman"/>
          <w:i/>
          <w:sz w:val="24"/>
          <w:szCs w:val="24"/>
        </w:rPr>
        <w:t>Ръководител на проекта</w:t>
      </w:r>
    </w:p>
    <w:p w:rsidR="00C30B6D" w:rsidRPr="0027288A" w:rsidRDefault="00C30B6D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Квалификация: Висше образование „Инженерни науки“ или „Икономика“, или еквивалент, с образователно-квалификационна степен „Магистър“ или еквивалент.</w:t>
      </w:r>
    </w:p>
    <w:p w:rsidR="00C30B6D" w:rsidRPr="0027288A" w:rsidRDefault="00C30B6D" w:rsidP="0027288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Общ професионален и специфичен опит</w:t>
      </w:r>
      <w:r w:rsidRPr="0027288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30B6D" w:rsidRPr="0027288A" w:rsidRDefault="00C30B6D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 xml:space="preserve">− общ професионален опит по съответната специалност - минимум </w:t>
      </w:r>
      <w:r w:rsidR="008E105F">
        <w:rPr>
          <w:rFonts w:ascii="Times New Roman" w:hAnsi="Times New Roman" w:cs="Times New Roman"/>
          <w:sz w:val="24"/>
          <w:szCs w:val="24"/>
        </w:rPr>
        <w:t>5</w:t>
      </w:r>
      <w:r w:rsidRPr="0027288A">
        <w:rPr>
          <w:rFonts w:ascii="Times New Roman" w:hAnsi="Times New Roman" w:cs="Times New Roman"/>
          <w:sz w:val="24"/>
          <w:szCs w:val="24"/>
        </w:rPr>
        <w:t xml:space="preserve"> години;</w:t>
      </w:r>
    </w:p>
    <w:p w:rsidR="00C30B6D" w:rsidRPr="0027288A" w:rsidRDefault="00C30B6D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−</w:t>
      </w:r>
      <w:r w:rsidR="002B66D6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специфичен опит на ръководна позиция (р</w:t>
      </w:r>
      <w:r w:rsidR="002B66D6">
        <w:rPr>
          <w:rFonts w:ascii="Times New Roman" w:hAnsi="Times New Roman" w:cs="Times New Roman"/>
          <w:sz w:val="24"/>
          <w:szCs w:val="24"/>
        </w:rPr>
        <w:t>ъководител или еквивалент) в из</w:t>
      </w:r>
      <w:r w:rsidRPr="0027288A">
        <w:rPr>
          <w:rFonts w:ascii="Times New Roman" w:hAnsi="Times New Roman" w:cs="Times New Roman"/>
          <w:sz w:val="24"/>
          <w:szCs w:val="24"/>
        </w:rPr>
        <w:t xml:space="preserve">пълнението на </w:t>
      </w:r>
      <w:r w:rsidR="008E105F">
        <w:rPr>
          <w:rFonts w:ascii="Times New Roman" w:hAnsi="Times New Roman" w:cs="Times New Roman"/>
          <w:sz w:val="24"/>
          <w:szCs w:val="24"/>
        </w:rPr>
        <w:t xml:space="preserve">един </w:t>
      </w:r>
      <w:r w:rsidRPr="0027288A">
        <w:rPr>
          <w:rFonts w:ascii="Times New Roman" w:hAnsi="Times New Roman" w:cs="Times New Roman"/>
          <w:sz w:val="24"/>
          <w:szCs w:val="24"/>
        </w:rPr>
        <w:t>проект/договор за услуги за подготовка на инвестиционен/и проект/и в сектор битови отпадъци и/или за координация/техническа</w:t>
      </w:r>
      <w:r w:rsidR="002B66D6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помощ при изпълнението на инвестиционе</w:t>
      </w:r>
      <w:r w:rsidR="002B66D6">
        <w:rPr>
          <w:rFonts w:ascii="Times New Roman" w:hAnsi="Times New Roman" w:cs="Times New Roman"/>
          <w:sz w:val="24"/>
          <w:szCs w:val="24"/>
        </w:rPr>
        <w:t>н/и проект/и в сектор битови от</w:t>
      </w:r>
      <w:r w:rsidR="008E105F">
        <w:rPr>
          <w:rFonts w:ascii="Times New Roman" w:hAnsi="Times New Roman" w:cs="Times New Roman"/>
          <w:sz w:val="24"/>
          <w:szCs w:val="24"/>
        </w:rPr>
        <w:t>падъци.</w:t>
      </w:r>
    </w:p>
    <w:p w:rsidR="00C30B6D" w:rsidRPr="00CF2C50" w:rsidRDefault="00C30B6D" w:rsidP="00CF2C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2C50">
        <w:rPr>
          <w:rFonts w:ascii="Times New Roman" w:hAnsi="Times New Roman" w:cs="Times New Roman"/>
          <w:i/>
          <w:sz w:val="24"/>
          <w:szCs w:val="24"/>
        </w:rPr>
        <w:t xml:space="preserve">Финансист </w:t>
      </w:r>
    </w:p>
    <w:p w:rsidR="00C30B6D" w:rsidRPr="0027288A" w:rsidRDefault="00C30B6D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Квалификация: Висше образование „Финанси“ и/или „Икономика“ или еквивалент с</w:t>
      </w:r>
      <w:r w:rsidR="002B66D6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27288A">
        <w:rPr>
          <w:rFonts w:ascii="Times New Roman" w:hAnsi="Times New Roman" w:cs="Times New Roman"/>
          <w:sz w:val="24"/>
          <w:szCs w:val="24"/>
        </w:rPr>
        <w:t>зователно-квалификационна степен „Магистър“ или еквивалент;</w:t>
      </w:r>
    </w:p>
    <w:p w:rsidR="00C30B6D" w:rsidRPr="0027288A" w:rsidRDefault="00C30B6D" w:rsidP="0027288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Общ професионален и специфичен опит</w:t>
      </w:r>
      <w:r w:rsidRPr="0027288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30B6D" w:rsidRPr="0027288A" w:rsidRDefault="002B66D6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B6D" w:rsidRPr="0027288A">
        <w:rPr>
          <w:rFonts w:ascii="Times New Roman" w:hAnsi="Times New Roman" w:cs="Times New Roman"/>
          <w:sz w:val="24"/>
          <w:szCs w:val="24"/>
        </w:rPr>
        <w:t xml:space="preserve">професионален опит по съответната специалност - минимум </w:t>
      </w:r>
      <w:r w:rsidR="008E105F">
        <w:rPr>
          <w:rFonts w:ascii="Times New Roman" w:hAnsi="Times New Roman" w:cs="Times New Roman"/>
          <w:sz w:val="24"/>
          <w:szCs w:val="24"/>
        </w:rPr>
        <w:t>3</w:t>
      </w:r>
      <w:r w:rsidR="00C30B6D" w:rsidRPr="0027288A">
        <w:rPr>
          <w:rFonts w:ascii="Times New Roman" w:hAnsi="Times New Roman" w:cs="Times New Roman"/>
          <w:sz w:val="24"/>
          <w:szCs w:val="24"/>
        </w:rPr>
        <w:t xml:space="preserve"> (</w:t>
      </w:r>
      <w:r w:rsidR="008E105F">
        <w:rPr>
          <w:rFonts w:ascii="Times New Roman" w:hAnsi="Times New Roman" w:cs="Times New Roman"/>
          <w:sz w:val="24"/>
          <w:szCs w:val="24"/>
        </w:rPr>
        <w:t>три</w:t>
      </w:r>
      <w:r w:rsidR="00C30B6D" w:rsidRPr="0027288A">
        <w:rPr>
          <w:rFonts w:ascii="Times New Roman" w:hAnsi="Times New Roman" w:cs="Times New Roman"/>
          <w:sz w:val="24"/>
          <w:szCs w:val="24"/>
        </w:rPr>
        <w:t>) години</w:t>
      </w:r>
    </w:p>
    <w:p w:rsidR="00C30B6D" w:rsidRPr="0027288A" w:rsidRDefault="002B66D6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B6D" w:rsidRPr="0027288A">
        <w:rPr>
          <w:rFonts w:ascii="Times New Roman" w:hAnsi="Times New Roman" w:cs="Times New Roman"/>
          <w:sz w:val="24"/>
          <w:szCs w:val="24"/>
        </w:rPr>
        <w:t xml:space="preserve">специфичен опит в </w:t>
      </w:r>
      <w:r w:rsidR="008E105F">
        <w:rPr>
          <w:rFonts w:ascii="Times New Roman" w:hAnsi="Times New Roman" w:cs="Times New Roman"/>
          <w:sz w:val="24"/>
          <w:szCs w:val="24"/>
        </w:rPr>
        <w:t>изготвянето на минимум един</w:t>
      </w:r>
      <w:r w:rsidR="00C30B6D" w:rsidRPr="0027288A">
        <w:rPr>
          <w:rFonts w:ascii="Times New Roman" w:hAnsi="Times New Roman" w:cs="Times New Roman"/>
          <w:sz w:val="24"/>
          <w:szCs w:val="24"/>
        </w:rPr>
        <w:t xml:space="preserve"> финансов анализ и/или анализ „разходи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05F">
        <w:rPr>
          <w:rFonts w:ascii="Times New Roman" w:hAnsi="Times New Roman" w:cs="Times New Roman"/>
          <w:sz w:val="24"/>
          <w:szCs w:val="24"/>
        </w:rPr>
        <w:t>ползи“</w:t>
      </w:r>
      <w:r w:rsidR="00C30B6D" w:rsidRPr="0027288A">
        <w:rPr>
          <w:rFonts w:ascii="Times New Roman" w:hAnsi="Times New Roman" w:cs="Times New Roman"/>
          <w:sz w:val="24"/>
          <w:szCs w:val="24"/>
        </w:rPr>
        <w:t>.</w:t>
      </w:r>
    </w:p>
    <w:p w:rsidR="00C30B6D" w:rsidRPr="00CF2C50" w:rsidRDefault="00C30B6D" w:rsidP="00CF2C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2C50">
        <w:rPr>
          <w:rFonts w:ascii="Times New Roman" w:hAnsi="Times New Roman" w:cs="Times New Roman"/>
          <w:i/>
          <w:sz w:val="24"/>
          <w:szCs w:val="24"/>
        </w:rPr>
        <w:t xml:space="preserve">Експерт </w:t>
      </w:r>
      <w:r w:rsidRPr="00CF2C50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CF2C50">
        <w:rPr>
          <w:rFonts w:ascii="Times New Roman" w:hAnsi="Times New Roman" w:cs="Times New Roman"/>
          <w:i/>
          <w:sz w:val="24"/>
          <w:szCs w:val="24"/>
        </w:rPr>
        <w:t>Инсталации за третиране на битови отпадъци</w:t>
      </w:r>
      <w:r w:rsidRPr="00CF2C50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CF2C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30B6D" w:rsidRPr="0027288A" w:rsidRDefault="00C30B6D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Квалификация - Висше образование „Инженерни науки“ или еквивалент с</w:t>
      </w:r>
      <w:r w:rsidR="002B66D6">
        <w:rPr>
          <w:rFonts w:ascii="Times New Roman" w:hAnsi="Times New Roman" w:cs="Times New Roman"/>
          <w:sz w:val="24"/>
          <w:szCs w:val="24"/>
        </w:rPr>
        <w:t xml:space="preserve"> образователно-</w:t>
      </w:r>
      <w:r w:rsidRPr="0027288A">
        <w:rPr>
          <w:rFonts w:ascii="Times New Roman" w:hAnsi="Times New Roman" w:cs="Times New Roman"/>
          <w:sz w:val="24"/>
          <w:szCs w:val="24"/>
        </w:rPr>
        <w:t>квалификационна степен „Магистър“ или еквивалент;</w:t>
      </w:r>
    </w:p>
    <w:p w:rsidR="00C30B6D" w:rsidRPr="0027288A" w:rsidRDefault="00C30B6D" w:rsidP="0027288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Общ професионален и специфичен опит</w:t>
      </w:r>
      <w:r w:rsidRPr="002B66D6">
        <w:rPr>
          <w:rFonts w:ascii="Times New Roman" w:hAnsi="Times New Roman" w:cs="Times New Roman"/>
          <w:iCs/>
          <w:sz w:val="24"/>
          <w:szCs w:val="24"/>
        </w:rPr>
        <w:t>:</w:t>
      </w:r>
    </w:p>
    <w:p w:rsidR="00C30B6D" w:rsidRPr="0027288A" w:rsidRDefault="002B66D6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B6D" w:rsidRPr="0027288A">
        <w:rPr>
          <w:rFonts w:ascii="Times New Roman" w:hAnsi="Times New Roman" w:cs="Times New Roman"/>
          <w:sz w:val="24"/>
          <w:szCs w:val="24"/>
        </w:rPr>
        <w:t xml:space="preserve">професионален опит по съответната специалност - минимум </w:t>
      </w:r>
      <w:r w:rsidR="0025329D">
        <w:rPr>
          <w:rFonts w:ascii="Times New Roman" w:hAnsi="Times New Roman" w:cs="Times New Roman"/>
          <w:sz w:val="24"/>
          <w:szCs w:val="24"/>
        </w:rPr>
        <w:t>3</w:t>
      </w:r>
      <w:r w:rsidR="00C30B6D" w:rsidRPr="0027288A">
        <w:rPr>
          <w:rFonts w:ascii="Times New Roman" w:hAnsi="Times New Roman" w:cs="Times New Roman"/>
          <w:sz w:val="24"/>
          <w:szCs w:val="24"/>
        </w:rPr>
        <w:t xml:space="preserve"> (</w:t>
      </w:r>
      <w:r w:rsidR="0025329D">
        <w:rPr>
          <w:rFonts w:ascii="Times New Roman" w:hAnsi="Times New Roman" w:cs="Times New Roman"/>
          <w:sz w:val="24"/>
          <w:szCs w:val="24"/>
        </w:rPr>
        <w:t>три</w:t>
      </w:r>
      <w:r w:rsidR="00C30B6D" w:rsidRPr="0027288A">
        <w:rPr>
          <w:rFonts w:ascii="Times New Roman" w:hAnsi="Times New Roman" w:cs="Times New Roman"/>
          <w:sz w:val="24"/>
          <w:szCs w:val="24"/>
        </w:rPr>
        <w:t>) години</w:t>
      </w:r>
      <w:r w:rsidR="0025329D">
        <w:rPr>
          <w:rFonts w:ascii="Times New Roman" w:hAnsi="Times New Roman" w:cs="Times New Roman"/>
          <w:sz w:val="24"/>
          <w:szCs w:val="24"/>
        </w:rPr>
        <w:t>;</w:t>
      </w:r>
    </w:p>
    <w:p w:rsidR="00C30B6D" w:rsidRPr="0027288A" w:rsidRDefault="002B66D6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B6D" w:rsidRPr="0027288A">
        <w:rPr>
          <w:rFonts w:ascii="Times New Roman" w:hAnsi="Times New Roman" w:cs="Times New Roman"/>
          <w:sz w:val="24"/>
          <w:szCs w:val="24"/>
        </w:rPr>
        <w:t>специфичен опит в областта на проектирането и/или строителството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B6D" w:rsidRPr="0027288A">
        <w:rPr>
          <w:rFonts w:ascii="Times New Roman" w:hAnsi="Times New Roman" w:cs="Times New Roman"/>
          <w:sz w:val="24"/>
          <w:szCs w:val="24"/>
        </w:rPr>
        <w:t>експлоатацията на инсталации за третиране на битови отпадъци - минимум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B6D" w:rsidRPr="0027288A">
        <w:rPr>
          <w:rFonts w:ascii="Times New Roman" w:hAnsi="Times New Roman" w:cs="Times New Roman"/>
          <w:sz w:val="24"/>
          <w:szCs w:val="24"/>
        </w:rPr>
        <w:t>(три) години.</w:t>
      </w:r>
    </w:p>
    <w:p w:rsidR="00C30B6D" w:rsidRPr="00CF2C50" w:rsidRDefault="00C30B6D" w:rsidP="00CF2C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2C50">
        <w:rPr>
          <w:rFonts w:ascii="Times New Roman" w:hAnsi="Times New Roman" w:cs="Times New Roman"/>
          <w:i/>
          <w:sz w:val="24"/>
          <w:szCs w:val="24"/>
        </w:rPr>
        <w:t xml:space="preserve">Експерт </w:t>
      </w:r>
      <w:r w:rsidRPr="00CF2C50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CF2C50">
        <w:rPr>
          <w:rFonts w:ascii="Times New Roman" w:hAnsi="Times New Roman" w:cs="Times New Roman"/>
          <w:i/>
          <w:sz w:val="24"/>
          <w:szCs w:val="24"/>
        </w:rPr>
        <w:t>Управление на отпадъците</w:t>
      </w:r>
      <w:r w:rsidRPr="00CF2C50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CF2C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30B6D" w:rsidRPr="0027288A" w:rsidRDefault="00C30B6D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Квалификация - Висше образование – „Иконом</w:t>
      </w:r>
      <w:r w:rsidR="002B66D6">
        <w:rPr>
          <w:rFonts w:ascii="Times New Roman" w:hAnsi="Times New Roman" w:cs="Times New Roman"/>
          <w:sz w:val="24"/>
          <w:szCs w:val="24"/>
        </w:rPr>
        <w:t>ика“ или „Инженерни науки“, или еквива</w:t>
      </w:r>
      <w:r w:rsidRPr="0027288A">
        <w:rPr>
          <w:rFonts w:ascii="Times New Roman" w:hAnsi="Times New Roman" w:cs="Times New Roman"/>
          <w:sz w:val="24"/>
          <w:szCs w:val="24"/>
        </w:rPr>
        <w:t>лент с образователно-квалификационна степен „Магистър“ или еквивалент</w:t>
      </w:r>
      <w:r w:rsidR="00CF2C50">
        <w:rPr>
          <w:rFonts w:ascii="Times New Roman" w:hAnsi="Times New Roman" w:cs="Times New Roman"/>
          <w:sz w:val="24"/>
          <w:szCs w:val="24"/>
        </w:rPr>
        <w:t>;</w:t>
      </w:r>
    </w:p>
    <w:p w:rsidR="00C30B6D" w:rsidRPr="002B66D6" w:rsidRDefault="00C30B6D" w:rsidP="0027288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Общ професионален и специфичен опит</w:t>
      </w:r>
      <w:r w:rsidRPr="002B66D6">
        <w:rPr>
          <w:rFonts w:ascii="Times New Roman" w:hAnsi="Times New Roman" w:cs="Times New Roman"/>
          <w:iCs/>
          <w:sz w:val="24"/>
          <w:szCs w:val="24"/>
        </w:rPr>
        <w:t>:</w:t>
      </w:r>
    </w:p>
    <w:p w:rsidR="00C30B6D" w:rsidRPr="0027288A" w:rsidRDefault="00BD7332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30B6D" w:rsidRPr="0027288A">
        <w:rPr>
          <w:rFonts w:ascii="Times New Roman" w:hAnsi="Times New Roman" w:cs="Times New Roman"/>
          <w:sz w:val="24"/>
          <w:szCs w:val="24"/>
        </w:rPr>
        <w:t xml:space="preserve">професионален опит по съответната специалност - минимум </w:t>
      </w:r>
      <w:r w:rsidR="0025329D">
        <w:rPr>
          <w:rFonts w:ascii="Times New Roman" w:hAnsi="Times New Roman" w:cs="Times New Roman"/>
          <w:sz w:val="24"/>
          <w:szCs w:val="24"/>
        </w:rPr>
        <w:t>3</w:t>
      </w:r>
      <w:r w:rsidR="00C30B6D" w:rsidRPr="0027288A">
        <w:rPr>
          <w:rFonts w:ascii="Times New Roman" w:hAnsi="Times New Roman" w:cs="Times New Roman"/>
          <w:sz w:val="24"/>
          <w:szCs w:val="24"/>
        </w:rPr>
        <w:t xml:space="preserve"> (</w:t>
      </w:r>
      <w:r w:rsidR="0025329D">
        <w:rPr>
          <w:rFonts w:ascii="Times New Roman" w:hAnsi="Times New Roman" w:cs="Times New Roman"/>
          <w:sz w:val="24"/>
          <w:szCs w:val="24"/>
        </w:rPr>
        <w:t>три</w:t>
      </w:r>
      <w:r w:rsidR="00C30B6D" w:rsidRPr="0027288A">
        <w:rPr>
          <w:rFonts w:ascii="Times New Roman" w:hAnsi="Times New Roman" w:cs="Times New Roman"/>
          <w:sz w:val="24"/>
          <w:szCs w:val="24"/>
        </w:rPr>
        <w:t>) години.</w:t>
      </w:r>
    </w:p>
    <w:p w:rsidR="00C30B6D" w:rsidRPr="0027288A" w:rsidRDefault="00BD7332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B6D" w:rsidRPr="0027288A">
        <w:rPr>
          <w:rFonts w:ascii="Times New Roman" w:hAnsi="Times New Roman" w:cs="Times New Roman"/>
          <w:sz w:val="24"/>
          <w:szCs w:val="24"/>
        </w:rPr>
        <w:t xml:space="preserve">специфичен опит в </w:t>
      </w:r>
      <w:r>
        <w:rPr>
          <w:rFonts w:ascii="Times New Roman" w:hAnsi="Times New Roman" w:cs="Times New Roman"/>
          <w:sz w:val="24"/>
          <w:szCs w:val="24"/>
        </w:rPr>
        <w:t>разработ</w:t>
      </w:r>
      <w:r w:rsidR="00C30B6D" w:rsidRPr="0027288A">
        <w:rPr>
          <w:rFonts w:ascii="Times New Roman" w:hAnsi="Times New Roman" w:cs="Times New Roman"/>
          <w:sz w:val="24"/>
          <w:szCs w:val="24"/>
        </w:rPr>
        <w:t>ване</w:t>
      </w:r>
      <w:r w:rsidR="0025329D">
        <w:rPr>
          <w:rFonts w:ascii="Times New Roman" w:hAnsi="Times New Roman" w:cs="Times New Roman"/>
          <w:sz w:val="24"/>
          <w:szCs w:val="24"/>
        </w:rPr>
        <w:t>то</w:t>
      </w:r>
      <w:r w:rsidR="00C30B6D" w:rsidRPr="0027288A">
        <w:rPr>
          <w:rFonts w:ascii="Times New Roman" w:hAnsi="Times New Roman" w:cs="Times New Roman"/>
          <w:sz w:val="24"/>
          <w:szCs w:val="24"/>
        </w:rPr>
        <w:t xml:space="preserve"> на </w:t>
      </w:r>
      <w:r w:rsidR="0025329D">
        <w:rPr>
          <w:rFonts w:ascii="Times New Roman" w:hAnsi="Times New Roman" w:cs="Times New Roman"/>
          <w:sz w:val="24"/>
          <w:szCs w:val="24"/>
        </w:rPr>
        <w:t xml:space="preserve">една </w:t>
      </w:r>
      <w:r w:rsidR="00C30B6D" w:rsidRPr="0027288A">
        <w:rPr>
          <w:rFonts w:ascii="Times New Roman" w:hAnsi="Times New Roman" w:cs="Times New Roman"/>
          <w:sz w:val="24"/>
          <w:szCs w:val="24"/>
        </w:rPr>
        <w:t>програм</w:t>
      </w:r>
      <w:r w:rsidR="0025329D">
        <w:rPr>
          <w:rFonts w:ascii="Times New Roman" w:hAnsi="Times New Roman" w:cs="Times New Roman"/>
          <w:sz w:val="24"/>
          <w:szCs w:val="24"/>
        </w:rPr>
        <w:t>а</w:t>
      </w:r>
      <w:r w:rsidR="00C30B6D" w:rsidRPr="0027288A">
        <w:rPr>
          <w:rFonts w:ascii="Times New Roman" w:hAnsi="Times New Roman" w:cs="Times New Roman"/>
          <w:sz w:val="24"/>
          <w:szCs w:val="24"/>
        </w:rPr>
        <w:t xml:space="preserve"> и/или план за управление на отпадъци, в т.ч. битови отпадъци и/или изготвяне на </w:t>
      </w:r>
      <w:r w:rsidR="0025329D">
        <w:rPr>
          <w:rFonts w:ascii="Times New Roman" w:hAnsi="Times New Roman" w:cs="Times New Roman"/>
          <w:sz w:val="24"/>
          <w:szCs w:val="24"/>
        </w:rPr>
        <w:t xml:space="preserve">едно </w:t>
      </w:r>
      <w:r w:rsidR="00C30B6D" w:rsidRPr="0027288A">
        <w:rPr>
          <w:rFonts w:ascii="Times New Roman" w:hAnsi="Times New Roman" w:cs="Times New Roman"/>
          <w:sz w:val="24"/>
          <w:szCs w:val="24"/>
        </w:rPr>
        <w:t>прединвестиционн</w:t>
      </w:r>
      <w:r w:rsidR="0025329D">
        <w:rPr>
          <w:rFonts w:ascii="Times New Roman" w:hAnsi="Times New Roman" w:cs="Times New Roman"/>
          <w:sz w:val="24"/>
          <w:szCs w:val="24"/>
        </w:rPr>
        <w:t>о</w:t>
      </w:r>
      <w:r w:rsidR="00C30B6D" w:rsidRPr="0027288A">
        <w:rPr>
          <w:rFonts w:ascii="Times New Roman" w:hAnsi="Times New Roman" w:cs="Times New Roman"/>
          <w:sz w:val="24"/>
          <w:szCs w:val="24"/>
        </w:rPr>
        <w:t xml:space="preserve"> проучван</w:t>
      </w:r>
      <w:r w:rsidR="0025329D">
        <w:rPr>
          <w:rFonts w:ascii="Times New Roman" w:hAnsi="Times New Roman" w:cs="Times New Roman"/>
          <w:sz w:val="24"/>
          <w:szCs w:val="24"/>
        </w:rPr>
        <w:t>е</w:t>
      </w:r>
      <w:r w:rsidR="00C30B6D" w:rsidRPr="0027288A">
        <w:rPr>
          <w:rFonts w:ascii="Times New Roman" w:hAnsi="Times New Roman" w:cs="Times New Roman"/>
          <w:sz w:val="24"/>
          <w:szCs w:val="24"/>
        </w:rPr>
        <w:t xml:space="preserve"> за битови отпадъци и/или управление на системи за управле</w:t>
      </w:r>
      <w:r>
        <w:rPr>
          <w:rFonts w:ascii="Times New Roman" w:hAnsi="Times New Roman" w:cs="Times New Roman"/>
          <w:sz w:val="24"/>
          <w:szCs w:val="24"/>
        </w:rPr>
        <w:t>ние на битови отпадъци</w:t>
      </w:r>
      <w:r w:rsidR="00C30B6D" w:rsidRPr="0027288A">
        <w:rPr>
          <w:rFonts w:ascii="Times New Roman" w:hAnsi="Times New Roman" w:cs="Times New Roman"/>
          <w:sz w:val="24"/>
          <w:szCs w:val="24"/>
        </w:rPr>
        <w:t>.</w:t>
      </w:r>
    </w:p>
    <w:p w:rsidR="00C30B6D" w:rsidRPr="00CF2C50" w:rsidRDefault="00C30B6D" w:rsidP="00CF2C5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2C50">
        <w:rPr>
          <w:rFonts w:ascii="Times New Roman" w:hAnsi="Times New Roman" w:cs="Times New Roman"/>
          <w:i/>
          <w:sz w:val="24"/>
          <w:szCs w:val="24"/>
        </w:rPr>
        <w:t xml:space="preserve">Експерт </w:t>
      </w:r>
      <w:r w:rsidRPr="00CF2C50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CF2C50">
        <w:rPr>
          <w:rFonts w:ascii="Times New Roman" w:hAnsi="Times New Roman" w:cs="Times New Roman"/>
          <w:i/>
          <w:sz w:val="24"/>
          <w:szCs w:val="24"/>
        </w:rPr>
        <w:t>Подготовка на проекти</w:t>
      </w:r>
      <w:r w:rsidRPr="00CF2C50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CF2C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30B6D" w:rsidRPr="0027288A" w:rsidRDefault="00C30B6D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Квалификация: Висше образование - „Икономика”, „Инженерни науки“, „Финанси“,</w:t>
      </w:r>
      <w:r w:rsidR="00BD7332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„Право“, или еквивалент, с образователно-квалификационна степен „Магистър“ или еквивалент</w:t>
      </w:r>
      <w:r w:rsidR="00BD7332">
        <w:rPr>
          <w:rFonts w:ascii="Times New Roman" w:hAnsi="Times New Roman" w:cs="Times New Roman"/>
          <w:sz w:val="24"/>
          <w:szCs w:val="24"/>
        </w:rPr>
        <w:t>.</w:t>
      </w:r>
    </w:p>
    <w:p w:rsidR="00C30B6D" w:rsidRPr="0027288A" w:rsidRDefault="00C30B6D" w:rsidP="0027288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Общ професионален и специфичен опит</w:t>
      </w:r>
      <w:r w:rsidRPr="00BD7332">
        <w:rPr>
          <w:rFonts w:ascii="Times New Roman" w:hAnsi="Times New Roman" w:cs="Times New Roman"/>
          <w:iCs/>
          <w:sz w:val="24"/>
          <w:szCs w:val="24"/>
        </w:rPr>
        <w:t>:</w:t>
      </w:r>
    </w:p>
    <w:p w:rsidR="00C30B6D" w:rsidRPr="0027288A" w:rsidRDefault="00BD7332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B6D" w:rsidRPr="0027288A">
        <w:rPr>
          <w:rFonts w:ascii="Times New Roman" w:hAnsi="Times New Roman" w:cs="Times New Roman"/>
          <w:sz w:val="24"/>
          <w:szCs w:val="24"/>
        </w:rPr>
        <w:t xml:space="preserve">професионален опит по съответната специалност - минимум </w:t>
      </w:r>
      <w:r w:rsidR="0025329D">
        <w:rPr>
          <w:rFonts w:ascii="Times New Roman" w:hAnsi="Times New Roman" w:cs="Times New Roman"/>
          <w:sz w:val="24"/>
          <w:szCs w:val="24"/>
        </w:rPr>
        <w:t>3</w:t>
      </w:r>
      <w:r w:rsidR="00C30B6D" w:rsidRPr="0027288A">
        <w:rPr>
          <w:rFonts w:ascii="Times New Roman" w:hAnsi="Times New Roman" w:cs="Times New Roman"/>
          <w:sz w:val="24"/>
          <w:szCs w:val="24"/>
        </w:rPr>
        <w:t xml:space="preserve"> (</w:t>
      </w:r>
      <w:r w:rsidR="0025329D">
        <w:rPr>
          <w:rFonts w:ascii="Times New Roman" w:hAnsi="Times New Roman" w:cs="Times New Roman"/>
          <w:sz w:val="24"/>
          <w:szCs w:val="24"/>
        </w:rPr>
        <w:t>три</w:t>
      </w:r>
      <w:r w:rsidR="00C30B6D" w:rsidRPr="0027288A">
        <w:rPr>
          <w:rFonts w:ascii="Times New Roman" w:hAnsi="Times New Roman" w:cs="Times New Roman"/>
          <w:sz w:val="24"/>
          <w:szCs w:val="24"/>
        </w:rPr>
        <w:t>) години,</w:t>
      </w:r>
    </w:p>
    <w:p w:rsidR="00C30B6D" w:rsidRPr="0027288A" w:rsidRDefault="00BD7332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B6D" w:rsidRPr="0027288A">
        <w:rPr>
          <w:rFonts w:ascii="Times New Roman" w:hAnsi="Times New Roman" w:cs="Times New Roman"/>
          <w:sz w:val="24"/>
          <w:szCs w:val="24"/>
        </w:rPr>
        <w:t xml:space="preserve">специфичен опит - участие в </w:t>
      </w:r>
      <w:r w:rsidR="0025329D">
        <w:rPr>
          <w:rFonts w:ascii="Times New Roman" w:hAnsi="Times New Roman" w:cs="Times New Roman"/>
          <w:sz w:val="24"/>
          <w:szCs w:val="24"/>
        </w:rPr>
        <w:t xml:space="preserve">един </w:t>
      </w:r>
      <w:r w:rsidR="00C30B6D" w:rsidRPr="0027288A">
        <w:rPr>
          <w:rFonts w:ascii="Times New Roman" w:hAnsi="Times New Roman" w:cs="Times New Roman"/>
          <w:sz w:val="24"/>
          <w:szCs w:val="24"/>
        </w:rPr>
        <w:t>проект/договор за подготовка на инвестицион</w:t>
      </w:r>
      <w:r w:rsidR="0025329D">
        <w:rPr>
          <w:rFonts w:ascii="Times New Roman" w:hAnsi="Times New Roman" w:cs="Times New Roman"/>
          <w:sz w:val="24"/>
          <w:szCs w:val="24"/>
        </w:rPr>
        <w:t>е</w:t>
      </w:r>
      <w:r w:rsidR="00C30B6D" w:rsidRPr="0027288A">
        <w:rPr>
          <w:rFonts w:ascii="Times New Roman" w:hAnsi="Times New Roman" w:cs="Times New Roman"/>
          <w:sz w:val="24"/>
          <w:szCs w:val="24"/>
        </w:rPr>
        <w:t>н проект за кандидатстване по донорски програми, в рамките на които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B6D" w:rsidRPr="0027288A">
        <w:rPr>
          <w:rFonts w:ascii="Times New Roman" w:hAnsi="Times New Roman" w:cs="Times New Roman"/>
          <w:sz w:val="24"/>
          <w:szCs w:val="24"/>
        </w:rPr>
        <w:t>експертът е подготв</w:t>
      </w:r>
      <w:r>
        <w:rPr>
          <w:rFonts w:ascii="Times New Roman" w:hAnsi="Times New Roman" w:cs="Times New Roman"/>
          <w:sz w:val="24"/>
          <w:szCs w:val="24"/>
        </w:rPr>
        <w:t xml:space="preserve">ял и формуляр за кандидатстване </w:t>
      </w:r>
      <w:r w:rsidR="00C30B6D" w:rsidRPr="0027288A">
        <w:rPr>
          <w:rFonts w:ascii="Times New Roman" w:hAnsi="Times New Roman" w:cs="Times New Roman"/>
          <w:sz w:val="24"/>
          <w:szCs w:val="24"/>
        </w:rPr>
        <w:t>или еквивалент на</w:t>
      </w:r>
      <w:r>
        <w:rPr>
          <w:rFonts w:ascii="Times New Roman" w:hAnsi="Times New Roman" w:cs="Times New Roman"/>
          <w:sz w:val="24"/>
          <w:szCs w:val="24"/>
        </w:rPr>
        <w:t xml:space="preserve"> формуляр за кандидатстване</w:t>
      </w:r>
      <w:r w:rsidR="00C30B6D" w:rsidRPr="0027288A">
        <w:rPr>
          <w:rFonts w:ascii="Times New Roman" w:hAnsi="Times New Roman" w:cs="Times New Roman"/>
          <w:sz w:val="24"/>
          <w:szCs w:val="24"/>
        </w:rPr>
        <w:t>.</w:t>
      </w:r>
    </w:p>
    <w:p w:rsidR="00C30B6D" w:rsidRDefault="00C30B6D" w:rsidP="00AC57E9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 xml:space="preserve">Други </w:t>
      </w:r>
      <w:r w:rsidRPr="0027288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7288A">
        <w:rPr>
          <w:rFonts w:ascii="Times New Roman" w:hAnsi="Times New Roman" w:cs="Times New Roman"/>
          <w:sz w:val="24"/>
          <w:szCs w:val="24"/>
        </w:rPr>
        <w:t>неключови</w:t>
      </w:r>
      <w:r w:rsidRPr="0027288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27288A">
        <w:rPr>
          <w:rFonts w:ascii="Times New Roman" w:hAnsi="Times New Roman" w:cs="Times New Roman"/>
          <w:sz w:val="24"/>
          <w:szCs w:val="24"/>
        </w:rPr>
        <w:t>експерти: Всеки участни</w:t>
      </w:r>
      <w:r w:rsidR="00BD7332">
        <w:rPr>
          <w:rFonts w:ascii="Times New Roman" w:hAnsi="Times New Roman" w:cs="Times New Roman"/>
          <w:sz w:val="24"/>
          <w:szCs w:val="24"/>
        </w:rPr>
        <w:t>к може по своя преценка да пред</w:t>
      </w:r>
      <w:r w:rsidRPr="0027288A">
        <w:rPr>
          <w:rFonts w:ascii="Times New Roman" w:hAnsi="Times New Roman" w:cs="Times New Roman"/>
          <w:sz w:val="24"/>
          <w:szCs w:val="24"/>
        </w:rPr>
        <w:t xml:space="preserve">ложи и неключови експерти за изпълнение на </w:t>
      </w:r>
      <w:r w:rsidR="00BD7332">
        <w:rPr>
          <w:rFonts w:ascii="Times New Roman" w:hAnsi="Times New Roman" w:cs="Times New Roman"/>
          <w:sz w:val="24"/>
          <w:szCs w:val="24"/>
        </w:rPr>
        <w:t>поръчката, като разходите за до</w:t>
      </w:r>
      <w:r w:rsidRPr="0027288A">
        <w:rPr>
          <w:rFonts w:ascii="Times New Roman" w:hAnsi="Times New Roman" w:cs="Times New Roman"/>
          <w:sz w:val="24"/>
          <w:szCs w:val="24"/>
        </w:rPr>
        <w:t>пълнителни експерти трябва да са предвидени в офертата на Изпълнителя.</w:t>
      </w:r>
    </w:p>
    <w:p w:rsidR="0043147F" w:rsidRPr="0027288A" w:rsidRDefault="0043147F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Участник може да докаже съответствието си с изискванията за </w:t>
      </w:r>
      <w:r w:rsidRPr="0027288A">
        <w:t xml:space="preserve">икономическо и финансово състояние </w:t>
      </w:r>
      <w:r>
        <w:t xml:space="preserve">и </w:t>
      </w:r>
      <w:r>
        <w:rPr>
          <w:color w:val="auto"/>
          <w:sz w:val="23"/>
          <w:szCs w:val="23"/>
        </w:rPr>
        <w:t xml:space="preserve">технически възможности с възможностите на едно или повече трети лица. В тези случаи, освен посочените документи, участникът представя доказателства, че при изпълнението на поръчката ще има на разположение ресурсите на третите лица. Трети лица може да бъдат посочените подизпълнители, свързани предприятия и други лица, независимо от правната връзка на участника с тях.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Когато участник в процедурата е чуждестранно физическо или юридическо лице или техни обединения, офертата се подава на български език, документът по чл. 56, ал. 1, т. 1 от ЗОП се представя в официален превод, а документите по чл. 56, ал. 1, т. 5 от ЗОП, които са на чужд език, се представят и в превод.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Желателно е документите в Плик №1 да бъдат подредени по реда, в който са изброени по-горе.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</w:p>
    <w:p w:rsidR="00C30B6D" w:rsidRPr="0027288A" w:rsidRDefault="00C30B6D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t>Плик № 2 „Предложение за изпълнение на поръчката”</w:t>
      </w:r>
      <w:r w:rsidRPr="0027288A">
        <w:rPr>
          <w:rFonts w:ascii="Times New Roman" w:hAnsi="Times New Roman" w:cs="Times New Roman"/>
          <w:sz w:val="24"/>
          <w:szCs w:val="24"/>
        </w:rPr>
        <w:t>, в който се поставят следните</w:t>
      </w:r>
      <w:r w:rsidR="00BD7332">
        <w:rPr>
          <w:rFonts w:ascii="Times New Roman" w:hAnsi="Times New Roman" w:cs="Times New Roman"/>
          <w:sz w:val="24"/>
          <w:szCs w:val="24"/>
        </w:rPr>
        <w:t xml:space="preserve"> доку</w:t>
      </w:r>
      <w:r w:rsidRPr="0027288A">
        <w:rPr>
          <w:rFonts w:ascii="Times New Roman" w:hAnsi="Times New Roman" w:cs="Times New Roman"/>
          <w:sz w:val="24"/>
          <w:szCs w:val="24"/>
        </w:rPr>
        <w:t>менти:</w:t>
      </w:r>
    </w:p>
    <w:p w:rsidR="00C30B6D" w:rsidRPr="0027288A" w:rsidRDefault="00C30B6D" w:rsidP="00836ACA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 xml:space="preserve">Техническо предложение, подписано от участника </w:t>
      </w:r>
      <w:r w:rsidRPr="002F65D1">
        <w:rPr>
          <w:rFonts w:ascii="Times New Roman" w:hAnsi="Times New Roman" w:cs="Times New Roman"/>
          <w:sz w:val="24"/>
          <w:szCs w:val="24"/>
        </w:rPr>
        <w:t>(</w:t>
      </w:r>
      <w:r w:rsidR="00836ACA" w:rsidRPr="002F65D1">
        <w:rPr>
          <w:rFonts w:ascii="Times New Roman" w:hAnsi="Times New Roman" w:cs="Times New Roman"/>
          <w:sz w:val="24"/>
          <w:szCs w:val="24"/>
        </w:rPr>
        <w:t>Приложение</w:t>
      </w:r>
      <w:r w:rsidR="007E68AD" w:rsidRPr="002F65D1">
        <w:rPr>
          <w:rFonts w:ascii="Times New Roman" w:hAnsi="Times New Roman" w:cs="Times New Roman"/>
          <w:sz w:val="24"/>
          <w:szCs w:val="24"/>
        </w:rPr>
        <w:t xml:space="preserve"> №</w:t>
      </w:r>
      <w:r w:rsidRPr="002F65D1">
        <w:rPr>
          <w:rFonts w:ascii="Times New Roman" w:hAnsi="Times New Roman" w:cs="Times New Roman"/>
          <w:sz w:val="24"/>
          <w:szCs w:val="24"/>
        </w:rPr>
        <w:t>2), съставено</w:t>
      </w:r>
      <w:r w:rsidRPr="0027288A">
        <w:rPr>
          <w:rFonts w:ascii="Times New Roman" w:hAnsi="Times New Roman" w:cs="Times New Roman"/>
          <w:sz w:val="24"/>
          <w:szCs w:val="24"/>
        </w:rPr>
        <w:t xml:space="preserve"> в съответствие с изискванията на Техническата спецификация. </w:t>
      </w:r>
    </w:p>
    <w:p w:rsidR="00C30B6D" w:rsidRPr="0027288A" w:rsidRDefault="00C30B6D" w:rsidP="00836ACA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Техническото предложение следва да съдържа предл</w:t>
      </w:r>
      <w:r w:rsidR="00BD7332">
        <w:rPr>
          <w:rFonts w:ascii="Times New Roman" w:hAnsi="Times New Roman" w:cs="Times New Roman"/>
          <w:sz w:val="24"/>
          <w:szCs w:val="24"/>
        </w:rPr>
        <w:t xml:space="preserve">ожението на участника за начина </w:t>
      </w:r>
      <w:r w:rsidRPr="0027288A">
        <w:rPr>
          <w:rFonts w:ascii="Times New Roman" w:hAnsi="Times New Roman" w:cs="Times New Roman"/>
          <w:sz w:val="24"/>
          <w:szCs w:val="24"/>
        </w:rPr>
        <w:t>на</w:t>
      </w:r>
      <w:r w:rsidR="00BD7332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изпълнение</w:t>
      </w:r>
      <w:r w:rsidR="00836ACA">
        <w:rPr>
          <w:rFonts w:ascii="Times New Roman" w:hAnsi="Times New Roman" w:cs="Times New Roman"/>
          <w:sz w:val="24"/>
          <w:szCs w:val="24"/>
        </w:rPr>
        <w:t>,</w:t>
      </w:r>
      <w:r w:rsidRPr="0027288A">
        <w:rPr>
          <w:rFonts w:ascii="Times New Roman" w:hAnsi="Times New Roman" w:cs="Times New Roman"/>
          <w:sz w:val="24"/>
          <w:szCs w:val="24"/>
        </w:rPr>
        <w:t xml:space="preserve"> чрез представяне на Програма за осъщест</w:t>
      </w:r>
      <w:r w:rsidR="00BD7332">
        <w:rPr>
          <w:rFonts w:ascii="Times New Roman" w:hAnsi="Times New Roman" w:cs="Times New Roman"/>
          <w:sz w:val="24"/>
          <w:szCs w:val="24"/>
        </w:rPr>
        <w:t>вяване целите на предмета на по</w:t>
      </w:r>
      <w:r w:rsidRPr="0027288A">
        <w:rPr>
          <w:rFonts w:ascii="Times New Roman" w:hAnsi="Times New Roman" w:cs="Times New Roman"/>
          <w:sz w:val="24"/>
          <w:szCs w:val="24"/>
        </w:rPr>
        <w:t>ръчката, предложение за Организация на работата за и</w:t>
      </w:r>
      <w:r w:rsidR="00BD7332">
        <w:rPr>
          <w:rFonts w:ascii="Times New Roman" w:hAnsi="Times New Roman" w:cs="Times New Roman"/>
          <w:sz w:val="24"/>
          <w:szCs w:val="24"/>
        </w:rPr>
        <w:t>зпълнение на поръчката, включва</w:t>
      </w:r>
      <w:r w:rsidRPr="0027288A">
        <w:rPr>
          <w:rFonts w:ascii="Times New Roman" w:hAnsi="Times New Roman" w:cs="Times New Roman"/>
          <w:sz w:val="24"/>
          <w:szCs w:val="24"/>
        </w:rPr>
        <w:t>що организация на човешки, технически и материални р</w:t>
      </w:r>
      <w:r w:rsidR="00BD7332">
        <w:rPr>
          <w:rFonts w:ascii="Times New Roman" w:hAnsi="Times New Roman" w:cs="Times New Roman"/>
          <w:sz w:val="24"/>
          <w:szCs w:val="24"/>
        </w:rPr>
        <w:t>есурси и Предложение за управле</w:t>
      </w:r>
      <w:r w:rsidRPr="0027288A">
        <w:rPr>
          <w:rFonts w:ascii="Times New Roman" w:hAnsi="Times New Roman" w:cs="Times New Roman"/>
          <w:sz w:val="24"/>
          <w:szCs w:val="24"/>
        </w:rPr>
        <w:t>ние на риска, включващо идентифицираните, оценени и ана</w:t>
      </w:r>
      <w:r w:rsidR="00BD7332">
        <w:rPr>
          <w:rFonts w:ascii="Times New Roman" w:hAnsi="Times New Roman" w:cs="Times New Roman"/>
          <w:sz w:val="24"/>
          <w:szCs w:val="24"/>
        </w:rPr>
        <w:t>лизирани от него рискове и стра</w:t>
      </w:r>
      <w:r w:rsidRPr="0027288A">
        <w:rPr>
          <w:rFonts w:ascii="Times New Roman" w:hAnsi="Times New Roman" w:cs="Times New Roman"/>
          <w:sz w:val="24"/>
          <w:szCs w:val="24"/>
        </w:rPr>
        <w:t>тегия и мерки за управлението им. Чрез техническото си предложение участникът следва да</w:t>
      </w:r>
      <w:r w:rsidR="00BD7332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изрази позиция по необходимите специфични аспект</w:t>
      </w:r>
      <w:r w:rsidR="00BD7332">
        <w:rPr>
          <w:rFonts w:ascii="Times New Roman" w:hAnsi="Times New Roman" w:cs="Times New Roman"/>
          <w:sz w:val="24"/>
          <w:szCs w:val="24"/>
        </w:rPr>
        <w:t>и, предвид конкретната законода</w:t>
      </w:r>
      <w:r w:rsidRPr="0027288A">
        <w:rPr>
          <w:rFonts w:ascii="Times New Roman" w:hAnsi="Times New Roman" w:cs="Times New Roman"/>
          <w:sz w:val="24"/>
          <w:szCs w:val="24"/>
        </w:rPr>
        <w:t>телна рамка и изискванията на Техническата спецификация</w:t>
      </w:r>
      <w:r w:rsidR="00BD7332">
        <w:rPr>
          <w:rFonts w:ascii="Times New Roman" w:hAnsi="Times New Roman" w:cs="Times New Roman"/>
          <w:sz w:val="24"/>
          <w:szCs w:val="24"/>
        </w:rPr>
        <w:t xml:space="preserve"> така, че да се гарантира качес</w:t>
      </w:r>
      <w:r w:rsidRPr="0027288A">
        <w:rPr>
          <w:rFonts w:ascii="Times New Roman" w:hAnsi="Times New Roman" w:cs="Times New Roman"/>
          <w:sz w:val="24"/>
          <w:szCs w:val="24"/>
        </w:rPr>
        <w:t>твено изпълнение на предмета на поръчката в пълния й обем и в дефинирания срок.</w:t>
      </w:r>
    </w:p>
    <w:p w:rsidR="00C30B6D" w:rsidRPr="0027288A" w:rsidRDefault="00C30B6D" w:rsidP="00836ACA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Техническото предложение следва да съдържа задължително следните компоненти:</w:t>
      </w:r>
    </w:p>
    <w:p w:rsidR="00C30B6D" w:rsidRPr="0027288A" w:rsidRDefault="00BD7332" w:rsidP="00836ACA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B6D" w:rsidRPr="0027288A">
        <w:rPr>
          <w:rFonts w:ascii="Times New Roman" w:hAnsi="Times New Roman" w:cs="Times New Roman"/>
          <w:sz w:val="24"/>
          <w:szCs w:val="24"/>
        </w:rPr>
        <w:t>Програма за осъществяване целите на предмета на поръчката</w:t>
      </w:r>
      <w:r w:rsidR="00836ACA">
        <w:rPr>
          <w:rFonts w:ascii="Times New Roman" w:hAnsi="Times New Roman" w:cs="Times New Roman"/>
          <w:sz w:val="24"/>
          <w:szCs w:val="24"/>
        </w:rPr>
        <w:t>;</w:t>
      </w:r>
    </w:p>
    <w:p w:rsidR="00C30B6D" w:rsidRPr="0027288A" w:rsidRDefault="00BD7332" w:rsidP="00836ACA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B6D" w:rsidRPr="0027288A">
        <w:rPr>
          <w:rFonts w:ascii="Times New Roman" w:hAnsi="Times New Roman" w:cs="Times New Roman"/>
          <w:sz w:val="24"/>
          <w:szCs w:val="24"/>
        </w:rPr>
        <w:t>Организация на работата за изпълнение на поръчката</w:t>
      </w:r>
      <w:r w:rsidR="00836ACA">
        <w:rPr>
          <w:rFonts w:ascii="Times New Roman" w:hAnsi="Times New Roman" w:cs="Times New Roman"/>
          <w:sz w:val="24"/>
          <w:szCs w:val="24"/>
        </w:rPr>
        <w:t>;</w:t>
      </w:r>
    </w:p>
    <w:p w:rsidR="00C30B6D" w:rsidRPr="0027288A" w:rsidRDefault="00BD7332" w:rsidP="00836ACA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B6D" w:rsidRPr="0027288A">
        <w:rPr>
          <w:rFonts w:ascii="Times New Roman" w:hAnsi="Times New Roman" w:cs="Times New Roman"/>
          <w:sz w:val="24"/>
          <w:szCs w:val="24"/>
        </w:rPr>
        <w:t>Предложение за управление на риска.</w:t>
      </w:r>
    </w:p>
    <w:p w:rsidR="0043147F" w:rsidRDefault="0043147F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0B6D" w:rsidRPr="0027288A" w:rsidRDefault="00C30B6D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6ACA">
        <w:rPr>
          <w:rFonts w:ascii="Times New Roman" w:hAnsi="Times New Roman" w:cs="Times New Roman"/>
          <w:b/>
          <w:sz w:val="24"/>
          <w:szCs w:val="24"/>
        </w:rPr>
        <w:lastRenderedPageBreak/>
        <w:t>Плик № 3 „Предлагана цена”</w:t>
      </w:r>
      <w:r w:rsidRPr="0027288A">
        <w:rPr>
          <w:rFonts w:ascii="Times New Roman" w:hAnsi="Times New Roman" w:cs="Times New Roman"/>
          <w:sz w:val="24"/>
          <w:szCs w:val="24"/>
        </w:rPr>
        <w:t>, в който се поставя</w:t>
      </w:r>
      <w:r w:rsidR="00836ACA">
        <w:rPr>
          <w:rFonts w:ascii="Times New Roman" w:hAnsi="Times New Roman" w:cs="Times New Roman"/>
          <w:sz w:val="24"/>
          <w:szCs w:val="24"/>
        </w:rPr>
        <w:t>:</w:t>
      </w:r>
    </w:p>
    <w:p w:rsidR="00C30B6D" w:rsidRPr="0027288A" w:rsidRDefault="00C30B6D" w:rsidP="00836ACA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 xml:space="preserve">Ценовото предложение, подписано от </w:t>
      </w:r>
      <w:r w:rsidRPr="002F65D1">
        <w:rPr>
          <w:rFonts w:ascii="Times New Roman" w:hAnsi="Times New Roman" w:cs="Times New Roman"/>
          <w:sz w:val="24"/>
          <w:szCs w:val="24"/>
        </w:rPr>
        <w:t>участника (</w:t>
      </w:r>
      <w:r w:rsidR="00836ACA" w:rsidRPr="002F65D1">
        <w:rPr>
          <w:rFonts w:ascii="Times New Roman" w:hAnsi="Times New Roman" w:cs="Times New Roman"/>
          <w:sz w:val="24"/>
          <w:szCs w:val="24"/>
        </w:rPr>
        <w:t>Приложение</w:t>
      </w:r>
      <w:r w:rsidRPr="002F65D1">
        <w:rPr>
          <w:rFonts w:ascii="Times New Roman" w:hAnsi="Times New Roman" w:cs="Times New Roman"/>
          <w:sz w:val="24"/>
          <w:szCs w:val="24"/>
        </w:rPr>
        <w:t xml:space="preserve"> №</w:t>
      </w:r>
      <w:r w:rsidR="007E68AD" w:rsidRPr="002F65D1">
        <w:rPr>
          <w:rFonts w:ascii="Times New Roman" w:hAnsi="Times New Roman" w:cs="Times New Roman"/>
          <w:sz w:val="24"/>
          <w:szCs w:val="24"/>
        </w:rPr>
        <w:t>3</w:t>
      </w:r>
      <w:r w:rsidRPr="002F65D1">
        <w:rPr>
          <w:rFonts w:ascii="Times New Roman" w:hAnsi="Times New Roman" w:cs="Times New Roman"/>
          <w:sz w:val="24"/>
          <w:szCs w:val="24"/>
        </w:rPr>
        <w:t>), в което</w:t>
      </w:r>
      <w:r w:rsidRPr="0027288A">
        <w:rPr>
          <w:rFonts w:ascii="Times New Roman" w:hAnsi="Times New Roman" w:cs="Times New Roman"/>
          <w:sz w:val="24"/>
          <w:szCs w:val="24"/>
        </w:rPr>
        <w:t xml:space="preserve"> се посочва предлаганата обща цена за цялостно изпълнение на</w:t>
      </w:r>
      <w:r w:rsidR="00836ACA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поръчката в лева без ДДС и с ДДС.</w:t>
      </w:r>
    </w:p>
    <w:p w:rsidR="001610B4" w:rsidRDefault="001610B4" w:rsidP="00836ACA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30B6D" w:rsidRPr="001610B4" w:rsidRDefault="00C30B6D" w:rsidP="00836ACA">
      <w:pPr>
        <w:pStyle w:val="NoSpacing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0B4">
        <w:rPr>
          <w:rFonts w:ascii="Times New Roman" w:hAnsi="Times New Roman" w:cs="Times New Roman"/>
          <w:i/>
          <w:sz w:val="24"/>
          <w:szCs w:val="24"/>
        </w:rPr>
        <w:t>Когато участник в процедурата е чуждестранно физиче</w:t>
      </w:r>
      <w:r w:rsidR="00BD7332" w:rsidRPr="001610B4">
        <w:rPr>
          <w:rFonts w:ascii="Times New Roman" w:hAnsi="Times New Roman" w:cs="Times New Roman"/>
          <w:i/>
          <w:sz w:val="24"/>
          <w:szCs w:val="24"/>
        </w:rPr>
        <w:t>ско или юридическо лице или тех</w:t>
      </w:r>
      <w:r w:rsidRPr="001610B4">
        <w:rPr>
          <w:rFonts w:ascii="Times New Roman" w:hAnsi="Times New Roman" w:cs="Times New Roman"/>
          <w:i/>
          <w:sz w:val="24"/>
          <w:szCs w:val="24"/>
        </w:rPr>
        <w:t>ни обединения, офертата се подава на български език, документите по т. 2.2, по-горе се</w:t>
      </w:r>
      <w:r w:rsidR="00BD7332" w:rsidRPr="00161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0B4">
        <w:rPr>
          <w:rFonts w:ascii="Times New Roman" w:hAnsi="Times New Roman" w:cs="Times New Roman"/>
          <w:i/>
          <w:sz w:val="24"/>
          <w:szCs w:val="24"/>
        </w:rPr>
        <w:t>представят в официален превод, а останалите документи, к</w:t>
      </w:r>
      <w:r w:rsidR="00BD7332" w:rsidRPr="001610B4">
        <w:rPr>
          <w:rFonts w:ascii="Times New Roman" w:hAnsi="Times New Roman" w:cs="Times New Roman"/>
          <w:i/>
          <w:sz w:val="24"/>
          <w:szCs w:val="24"/>
        </w:rPr>
        <w:t>оито са на чужд език се предста</w:t>
      </w:r>
      <w:r w:rsidRPr="001610B4">
        <w:rPr>
          <w:rFonts w:ascii="Times New Roman" w:hAnsi="Times New Roman" w:cs="Times New Roman"/>
          <w:i/>
          <w:sz w:val="24"/>
          <w:szCs w:val="24"/>
        </w:rPr>
        <w:t>вят и в превод на български език.</w:t>
      </w:r>
    </w:p>
    <w:p w:rsidR="0043147F" w:rsidRPr="0027288A" w:rsidRDefault="0043147F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0B6D" w:rsidRPr="000370CE" w:rsidRDefault="00C30B6D" w:rsidP="0027288A">
      <w:pPr>
        <w:pStyle w:val="NoSpacing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70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</w:t>
      </w:r>
      <w:r w:rsidRPr="000370CE">
        <w:rPr>
          <w:rFonts w:ascii="Times New Roman" w:hAnsi="Times New Roman" w:cs="Times New Roman"/>
          <w:b/>
          <w:i/>
          <w:sz w:val="24"/>
          <w:szCs w:val="24"/>
        </w:rPr>
        <w:t>Изисквания към документите</w:t>
      </w:r>
      <w:r w:rsidRPr="000370CE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Всички документи, съдържащи се в Пликове № 1, 2 и 3 от офертата на участника, трябва да са попълнени на български език, без поправки и/или изтривания.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Документите в офертата трябва да са подписани само от лица с представителни функции, назовани в документа за регистрация в Агенцията по вписванията – Търговски регистър или в удостоверението за актуално състояние, или от изрично упълномощени за това лица (с изключение на изискуемите документи, които обективират лично изявление на конкретно лице и не могат да се подпишат и представят от пълномощник). Във втория случай в офертата трябва да се представи нотариално заверено пълномощно за изпълнението на такива функции.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Когато за някои от документите е посочено, че може да се представи чрез “заверено копие”, за такъв документ се счита този, при който върху копието на документа представляващият участника е записал “Вярно с оригинала”, поставил е собственоръчен подпис със син цвят под заверката, както и свеж печат.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Съгласно чл. 57 от ЗОП, 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разписка. Върху плика участникът посочва: предмета на поръчката, адрес за кореспонденция, телефон и по възможност факс и електронен адрес.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Ако участник изпраща офертата си чрез препоръчана поща или куриерска служба, разходите са за негова сметка. В този случай участникът следва да изпрати офертата така, че да обезпечи нейното пристигане в деловодството на Община </w:t>
      </w:r>
      <w:r w:rsidR="00676B89">
        <w:rPr>
          <w:color w:val="auto"/>
          <w:sz w:val="23"/>
          <w:szCs w:val="23"/>
        </w:rPr>
        <w:t>Асеновград</w:t>
      </w:r>
      <w:r>
        <w:rPr>
          <w:color w:val="auto"/>
          <w:sz w:val="23"/>
          <w:szCs w:val="23"/>
        </w:rPr>
        <w:t xml:space="preserve"> преди изтичане на срока за подаване на оферти. Рискът от забава или загубване на офертата е за участника.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Подаването на оферта следва да се извърши в Деловодството на Община </w:t>
      </w:r>
      <w:r w:rsidR="00676B89">
        <w:rPr>
          <w:color w:val="auto"/>
          <w:sz w:val="23"/>
          <w:szCs w:val="23"/>
        </w:rPr>
        <w:t>Асеновград</w:t>
      </w:r>
      <w:r>
        <w:rPr>
          <w:color w:val="auto"/>
          <w:sz w:val="23"/>
          <w:szCs w:val="23"/>
        </w:rPr>
        <w:t xml:space="preserve">, </w:t>
      </w:r>
      <w:r w:rsidR="007E5164" w:rsidRPr="007E5164">
        <w:rPr>
          <w:color w:val="auto"/>
          <w:sz w:val="23"/>
          <w:szCs w:val="23"/>
        </w:rPr>
        <w:t>п</w:t>
      </w:r>
      <w:r w:rsidR="00676B89" w:rsidRPr="007E5164">
        <w:rPr>
          <w:color w:val="auto"/>
          <w:sz w:val="23"/>
          <w:szCs w:val="23"/>
        </w:rPr>
        <w:t>л.</w:t>
      </w:r>
      <w:r w:rsidR="007E5164" w:rsidRPr="007E5164">
        <w:rPr>
          <w:color w:val="auto"/>
          <w:sz w:val="23"/>
          <w:szCs w:val="23"/>
        </w:rPr>
        <w:t xml:space="preserve"> „Академик Николай Хайтов“ </w:t>
      </w:r>
      <w:r w:rsidR="00676B89" w:rsidRPr="007E5164">
        <w:rPr>
          <w:color w:val="auto"/>
          <w:sz w:val="23"/>
          <w:szCs w:val="23"/>
        </w:rPr>
        <w:t>№</w:t>
      </w:r>
      <w:r w:rsidR="007E5164" w:rsidRPr="007E5164">
        <w:rPr>
          <w:color w:val="auto"/>
          <w:sz w:val="23"/>
          <w:szCs w:val="23"/>
        </w:rPr>
        <w:t>9</w:t>
      </w:r>
      <w:r w:rsidRPr="007E5164">
        <w:rPr>
          <w:color w:val="auto"/>
          <w:sz w:val="23"/>
          <w:szCs w:val="23"/>
        </w:rPr>
        <w:t xml:space="preserve"> от 08:</w:t>
      </w:r>
      <w:r w:rsidR="007E5164" w:rsidRPr="007E5164">
        <w:rPr>
          <w:color w:val="auto"/>
          <w:sz w:val="23"/>
          <w:szCs w:val="23"/>
        </w:rPr>
        <w:t>0</w:t>
      </w:r>
      <w:r w:rsidRPr="007E5164">
        <w:rPr>
          <w:color w:val="auto"/>
          <w:sz w:val="23"/>
          <w:szCs w:val="23"/>
        </w:rPr>
        <w:t>0ч. до 17:</w:t>
      </w:r>
      <w:r w:rsidR="007E5164" w:rsidRPr="007E5164">
        <w:rPr>
          <w:color w:val="auto"/>
          <w:sz w:val="23"/>
          <w:szCs w:val="23"/>
        </w:rPr>
        <w:t>00</w:t>
      </w:r>
      <w:r w:rsidRPr="007E5164">
        <w:rPr>
          <w:color w:val="auto"/>
          <w:sz w:val="23"/>
          <w:szCs w:val="23"/>
        </w:rPr>
        <w:t xml:space="preserve"> ч.</w:t>
      </w:r>
      <w:r>
        <w:rPr>
          <w:color w:val="auto"/>
          <w:sz w:val="23"/>
          <w:szCs w:val="23"/>
        </w:rPr>
        <w:t xml:space="preserve"> всеки работен ден до изтичане на срока, посочен в обявлението.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Възложителят не приема за участие в процедурата и връща незабавно на участниците оферти, които са представени след изтичане на крайния срок за получаване или в незапечатан, прозрачен или скъсан плик.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 изтичане на срока за подаване на оферти всеки участник в процедурата може да промени, допълни или да оттегли офертата си. След крайния срок за подаване на оферти участниците не могат да оттеглят или променят офертите си.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</w:p>
    <w:p w:rsidR="00C30B6D" w:rsidRPr="000370CE" w:rsidRDefault="00C30B6D" w:rsidP="0027288A">
      <w:pPr>
        <w:pStyle w:val="NoSpacing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70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</w:t>
      </w:r>
      <w:r w:rsidRPr="000370CE">
        <w:rPr>
          <w:rFonts w:ascii="Times New Roman" w:hAnsi="Times New Roman" w:cs="Times New Roman"/>
          <w:b/>
          <w:i/>
          <w:sz w:val="24"/>
          <w:szCs w:val="24"/>
        </w:rPr>
        <w:t>Цена и начин на плащане</w:t>
      </w:r>
      <w:r w:rsidRPr="000370CE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C30B6D" w:rsidRPr="0027288A" w:rsidRDefault="00C30B6D" w:rsidP="000004C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370CE">
        <w:rPr>
          <w:rFonts w:ascii="Times New Roman" w:hAnsi="Times New Roman" w:cs="Times New Roman"/>
          <w:sz w:val="24"/>
          <w:szCs w:val="24"/>
        </w:rPr>
        <w:t>Предлаганата</w:t>
      </w:r>
      <w:r w:rsidRPr="0027288A">
        <w:rPr>
          <w:rFonts w:ascii="Times New Roman" w:hAnsi="Times New Roman" w:cs="Times New Roman"/>
          <w:sz w:val="24"/>
          <w:szCs w:val="24"/>
        </w:rPr>
        <w:t xml:space="preserve"> цена се определя като обща сума за цялостно изпълнение на поръчката в лева без ДДС и с ДДС и включва всички разход</w:t>
      </w:r>
      <w:r w:rsidR="00BD7332">
        <w:rPr>
          <w:rFonts w:ascii="Times New Roman" w:hAnsi="Times New Roman" w:cs="Times New Roman"/>
          <w:sz w:val="24"/>
          <w:szCs w:val="24"/>
        </w:rPr>
        <w:t>и за нейното качествено изпълне</w:t>
      </w:r>
      <w:r w:rsidRPr="0027288A">
        <w:rPr>
          <w:rFonts w:ascii="Times New Roman" w:hAnsi="Times New Roman" w:cs="Times New Roman"/>
          <w:sz w:val="24"/>
          <w:szCs w:val="24"/>
        </w:rPr>
        <w:t>ние в съответствие с предварително обявените от Възложителя условия и изискванията на</w:t>
      </w:r>
      <w:r w:rsidR="00BD7332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Техническата спецификация.</w:t>
      </w:r>
    </w:p>
    <w:p w:rsidR="00C30B6D" w:rsidRPr="0027288A" w:rsidRDefault="00C30B6D" w:rsidP="000004C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Предлаганата цена покрива всички задължения за изпълнение на пълния обхват</w:t>
      </w:r>
      <w:r w:rsidR="00BD7332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на дейностите, които се възлагат с настоящата поръчка, за целия срок на договора.</w:t>
      </w:r>
    </w:p>
    <w:p w:rsidR="00C30B6D" w:rsidRPr="0027288A" w:rsidRDefault="00C30B6D" w:rsidP="000004C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Участникът е единствено отговорен за евентуално допуснати грешки или пропуски в изчисленията на предложените от него цени. При несъответствие между цифровата</w:t>
      </w:r>
      <w:r w:rsidR="00BD7332"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и изписаната с думи цена ще се взема предвид изписаната с думи.</w:t>
      </w:r>
    </w:p>
    <w:p w:rsidR="00C30B6D" w:rsidRDefault="00C30B6D" w:rsidP="000004C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lastRenderedPageBreak/>
        <w:t>Условията и начинът на плащане са посочени в проекта на договор за обществената поръчка от документацията за участие.</w:t>
      </w:r>
    </w:p>
    <w:p w:rsidR="000370CE" w:rsidRPr="0027288A" w:rsidRDefault="000370CE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5C76" w:rsidRDefault="004075C3" w:rsidP="000370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315C76" w:rsidRPr="00212D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15C76" w:rsidRPr="00212DFF">
        <w:rPr>
          <w:rFonts w:ascii="Times New Roman" w:hAnsi="Times New Roman" w:cs="Times New Roman"/>
          <w:b/>
          <w:sz w:val="24"/>
          <w:szCs w:val="24"/>
        </w:rPr>
        <w:t>КРИТЕРИЙ ЗА ОЦЕНКА НА ОФЕРТИТЕ</w:t>
      </w:r>
    </w:p>
    <w:p w:rsidR="0043147F" w:rsidRPr="000004CB" w:rsidRDefault="0043147F" w:rsidP="000004C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004CB">
        <w:rPr>
          <w:rFonts w:ascii="Times New Roman" w:hAnsi="Times New Roman" w:cs="Times New Roman"/>
          <w:sz w:val="24"/>
          <w:szCs w:val="24"/>
        </w:rPr>
        <w:t xml:space="preserve">Разглеждането и оценяването на офертите ще се извърши по реда на глава пета „Открита процедура”, раздел ІІ „Разглеждане, оценка и класиране на офертите” от ЗОП. </w:t>
      </w:r>
    </w:p>
    <w:p w:rsidR="0043147F" w:rsidRPr="000004CB" w:rsidRDefault="0043147F" w:rsidP="000004C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004CB">
        <w:rPr>
          <w:rFonts w:ascii="Times New Roman" w:hAnsi="Times New Roman" w:cs="Times New Roman"/>
          <w:sz w:val="24"/>
          <w:szCs w:val="24"/>
        </w:rPr>
        <w:t xml:space="preserve">Отварянето на офертите ще се извърши на датата и мястото съгласно обявлението. </w:t>
      </w:r>
    </w:p>
    <w:p w:rsidR="0043147F" w:rsidRPr="000004CB" w:rsidRDefault="0043147F" w:rsidP="000004C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004CB">
        <w:rPr>
          <w:rFonts w:ascii="Times New Roman" w:hAnsi="Times New Roman" w:cs="Times New Roman"/>
          <w:sz w:val="24"/>
          <w:szCs w:val="24"/>
        </w:rPr>
        <w:t xml:space="preserve">Отварянето на офертите, в т.ч. на плика с предлагана цена, е публично и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на други лица. </w:t>
      </w:r>
    </w:p>
    <w:p w:rsidR="0043147F" w:rsidRPr="000004CB" w:rsidRDefault="0043147F" w:rsidP="000004C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004CB">
        <w:rPr>
          <w:rFonts w:ascii="Times New Roman" w:hAnsi="Times New Roman" w:cs="Times New Roman"/>
          <w:sz w:val="24"/>
          <w:szCs w:val="24"/>
        </w:rPr>
        <w:t xml:space="preserve">Датата, часа и мястото на отваряне на ценовите оферти, ще бъдат обявени чрез съобщение в профила на купувача, не по-късно от два работни дни преди датата на отваряне. </w:t>
      </w:r>
    </w:p>
    <w:p w:rsidR="0043147F" w:rsidRPr="000004CB" w:rsidRDefault="0043147F" w:rsidP="000004C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004CB">
        <w:rPr>
          <w:rFonts w:ascii="Times New Roman" w:hAnsi="Times New Roman" w:cs="Times New Roman"/>
          <w:sz w:val="24"/>
          <w:szCs w:val="24"/>
        </w:rPr>
        <w:t xml:space="preserve">Изпълнителят на поръчката ще бъде определен въз основа на оценка на офертите по критерия </w:t>
      </w:r>
      <w:r w:rsidRPr="00676B89">
        <w:rPr>
          <w:rFonts w:ascii="Times New Roman" w:hAnsi="Times New Roman" w:cs="Times New Roman"/>
          <w:b/>
          <w:sz w:val="24"/>
          <w:szCs w:val="24"/>
        </w:rPr>
        <w:t>„икономически най-изгодна оферта”</w:t>
      </w:r>
      <w:r w:rsidRPr="000004CB">
        <w:rPr>
          <w:rFonts w:ascii="Times New Roman" w:hAnsi="Times New Roman" w:cs="Times New Roman"/>
          <w:sz w:val="24"/>
          <w:szCs w:val="24"/>
        </w:rPr>
        <w:t xml:space="preserve">, който ще се приложи за оценка на офертите, които отговарят на изискванията на ЗОП и на предварително обявените от Възложителя условия, и които съдържат всички изискуеми документи. </w:t>
      </w:r>
    </w:p>
    <w:p w:rsidR="00AF3236" w:rsidRPr="00F85BEA" w:rsidRDefault="0043147F" w:rsidP="00AF3236">
      <w:pPr>
        <w:autoSpaceDE w:val="0"/>
        <w:autoSpaceDN w:val="0"/>
        <w:adjustRightInd w:val="0"/>
        <w:ind w:firstLine="397"/>
        <w:jc w:val="both"/>
        <w:rPr>
          <w:b/>
        </w:rPr>
      </w:pPr>
      <w:r w:rsidRPr="000004CB">
        <w:t>За икономически най-изгодна оферта се счита тази, получила най-висока комплексна оценка. Комплексната оценка на офертата представлява сборът на точките, които тя е получила по посочените в методиката за оценка показатели за определяне на комплексната оценка.</w:t>
      </w:r>
      <w:r w:rsidR="00AF3236" w:rsidRPr="00AF3236">
        <w:rPr>
          <w:b/>
        </w:rPr>
        <w:t xml:space="preserve"> </w:t>
      </w:r>
    </w:p>
    <w:p w:rsidR="00AF3236" w:rsidRPr="00AF3236" w:rsidRDefault="00AF3236" w:rsidP="00AF3236">
      <w:pPr>
        <w:autoSpaceDE w:val="0"/>
        <w:autoSpaceDN w:val="0"/>
        <w:adjustRightInd w:val="0"/>
        <w:ind w:firstLine="397"/>
        <w:jc w:val="both"/>
        <w:rPr>
          <w:b/>
          <w:i/>
        </w:rPr>
      </w:pPr>
      <w:r w:rsidRPr="00693813">
        <w:rPr>
          <w:b/>
          <w:bCs/>
          <w:i/>
          <w:lang w:val="en-US"/>
        </w:rPr>
        <w:t>1</w:t>
      </w:r>
      <w:r w:rsidRPr="00693813">
        <w:rPr>
          <w:b/>
          <w:bCs/>
          <w:i/>
        </w:rPr>
        <w:t>.</w:t>
      </w:r>
      <w:r w:rsidRPr="00F85BEA">
        <w:rPr>
          <w:b/>
          <w:bCs/>
        </w:rPr>
        <w:t xml:space="preserve"> </w:t>
      </w:r>
      <w:r w:rsidRPr="00AF3236">
        <w:rPr>
          <w:b/>
          <w:bCs/>
          <w:i/>
        </w:rPr>
        <w:t>П</w:t>
      </w:r>
      <w:r w:rsidRPr="00AF3236">
        <w:rPr>
          <w:b/>
          <w:i/>
        </w:rPr>
        <w:t>оказатели</w:t>
      </w:r>
      <w:r w:rsidRPr="00AF3236">
        <w:rPr>
          <w:b/>
          <w:bCs/>
          <w:i/>
        </w:rPr>
        <w:t xml:space="preserve">, </w:t>
      </w:r>
      <w:r w:rsidRPr="00AF3236">
        <w:rPr>
          <w:b/>
          <w:i/>
        </w:rPr>
        <w:t>тяхната относителна тежест и методика за оценката им</w:t>
      </w:r>
    </w:p>
    <w:p w:rsidR="00AF3236" w:rsidRPr="00F85BEA" w:rsidRDefault="00AF3236" w:rsidP="00AF3236">
      <w:pPr>
        <w:autoSpaceDE w:val="0"/>
        <w:autoSpaceDN w:val="0"/>
        <w:adjustRightInd w:val="0"/>
        <w:ind w:firstLine="397"/>
        <w:jc w:val="both"/>
      </w:pPr>
      <w:r w:rsidRPr="00F85BEA">
        <w:t>Класирането на допуснатите до оценяване оферти се извършва въз основа на комплексна</w:t>
      </w:r>
      <w:r>
        <w:t xml:space="preserve"> </w:t>
      </w:r>
      <w:r w:rsidRPr="00F85BEA">
        <w:t>оценка за всяка оферта. Оферта на участник, която не отговаря изискванията на възложителя,</w:t>
      </w:r>
      <w:r>
        <w:t xml:space="preserve"> </w:t>
      </w:r>
      <w:r w:rsidRPr="00F85BEA">
        <w:t>описани в обявлението не подлежи на оценяване.</w:t>
      </w:r>
    </w:p>
    <w:p w:rsidR="00AF3236" w:rsidRPr="00F85BEA" w:rsidRDefault="009A248F" w:rsidP="00AF3236">
      <w:pPr>
        <w:autoSpaceDE w:val="0"/>
        <w:autoSpaceDN w:val="0"/>
        <w:adjustRightInd w:val="0"/>
        <w:ind w:firstLine="397"/>
        <w:jc w:val="both"/>
      </w:pPr>
      <w:r>
        <w:rPr>
          <w:b/>
        </w:rPr>
        <w:t>1</w:t>
      </w:r>
      <w:r w:rsidR="00AF3236" w:rsidRPr="00F85BEA">
        <w:rPr>
          <w:b/>
          <w:bCs/>
        </w:rPr>
        <w:t xml:space="preserve">.1. </w:t>
      </w:r>
      <w:r w:rsidR="00AF3236" w:rsidRPr="00F85BEA">
        <w:t>Показатели за определяне на комплексната оценка с относителните им тежести в</w:t>
      </w:r>
      <w:r w:rsidR="00AF3236">
        <w:t xml:space="preserve"> нея.</w:t>
      </w:r>
    </w:p>
    <w:p w:rsidR="00AF3236" w:rsidRDefault="00AF3236" w:rsidP="00AF3236">
      <w:pPr>
        <w:autoSpaceDE w:val="0"/>
        <w:autoSpaceDN w:val="0"/>
        <w:adjustRightInd w:val="0"/>
        <w:ind w:firstLine="397"/>
        <w:jc w:val="both"/>
        <w:rPr>
          <w:b/>
          <w:bCs/>
        </w:rPr>
      </w:pPr>
      <w:r w:rsidRPr="00F85BEA">
        <w:t>Показателите за оценка на допуснатите до разглеждане оферти при избрания критерий са</w:t>
      </w:r>
      <w:r>
        <w:t xml:space="preserve"> </w:t>
      </w:r>
      <w:r w:rsidRPr="00F85BEA">
        <w:t>представени в долната таблица със своите възможно най-високи стойности на оценката и относителната им тежест в комплексната оценка. Максималната възможна комплексна оценка</w:t>
      </w:r>
      <w:r>
        <w:t xml:space="preserve"> </w:t>
      </w:r>
      <w:r w:rsidRPr="00F85BEA">
        <w:t xml:space="preserve">на офертата е </w:t>
      </w:r>
      <w:r w:rsidRPr="00F85BEA">
        <w:rPr>
          <w:b/>
          <w:bCs/>
        </w:rPr>
        <w:t xml:space="preserve">100 </w:t>
      </w:r>
      <w:r w:rsidRPr="00F85BEA">
        <w:t>т</w:t>
      </w:r>
      <w:r w:rsidRPr="00F85BEA">
        <w:rPr>
          <w:b/>
          <w:bCs/>
        </w:rPr>
        <w:t>.</w:t>
      </w:r>
    </w:p>
    <w:p w:rsidR="00AF3236" w:rsidRDefault="00AF3236" w:rsidP="00AF3236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Grid"/>
        <w:tblW w:w="9072" w:type="dxa"/>
        <w:tblInd w:w="108" w:type="dxa"/>
        <w:tblLook w:val="04A0"/>
      </w:tblPr>
      <w:tblGrid>
        <w:gridCol w:w="534"/>
        <w:gridCol w:w="4286"/>
        <w:gridCol w:w="2023"/>
        <w:gridCol w:w="2229"/>
      </w:tblGrid>
      <w:tr w:rsidR="00AF3236" w:rsidTr="004B5670">
        <w:tc>
          <w:tcPr>
            <w:tcW w:w="534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Показатели за оценка на офертите</w:t>
            </w:r>
          </w:p>
        </w:tc>
        <w:tc>
          <w:tcPr>
            <w:tcW w:w="2023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Максимална</w:t>
            </w:r>
          </w:p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оценка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Относителна тежест в</w:t>
            </w:r>
          </w:p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комплексната оценка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F3236" w:rsidTr="004B5670">
        <w:tc>
          <w:tcPr>
            <w:tcW w:w="534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BE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Показател 1: Оценка на техническото</w:t>
            </w:r>
          </w:p>
          <w:p w:rsidR="00AF3236" w:rsidRPr="00F85BEA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предложение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100 (сто) точки</w:t>
            </w:r>
          </w:p>
        </w:tc>
        <w:tc>
          <w:tcPr>
            <w:tcW w:w="2229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70 %</w:t>
            </w:r>
          </w:p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(седемдесет на сто)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3236" w:rsidTr="004B5670">
        <w:tc>
          <w:tcPr>
            <w:tcW w:w="534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BE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Показател 2: Оценка на ценовото предложение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100 (сто) точки</w:t>
            </w:r>
          </w:p>
        </w:tc>
        <w:tc>
          <w:tcPr>
            <w:tcW w:w="2229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30 %</w:t>
            </w:r>
          </w:p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(тридесет на сто)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F3236" w:rsidRPr="00F85BEA" w:rsidRDefault="00AF3236" w:rsidP="00AF3236">
      <w:pPr>
        <w:autoSpaceDE w:val="0"/>
        <w:autoSpaceDN w:val="0"/>
        <w:adjustRightInd w:val="0"/>
        <w:jc w:val="both"/>
        <w:rPr>
          <w:b/>
          <w:bCs/>
        </w:rPr>
      </w:pPr>
    </w:p>
    <w:p w:rsidR="00AF3236" w:rsidRPr="00F85BEA" w:rsidRDefault="00AF3236" w:rsidP="00AF3236">
      <w:pPr>
        <w:autoSpaceDE w:val="0"/>
        <w:autoSpaceDN w:val="0"/>
        <w:adjustRightInd w:val="0"/>
        <w:ind w:firstLine="397"/>
        <w:jc w:val="both"/>
      </w:pPr>
      <w:r w:rsidRPr="00F85BEA">
        <w:t>Методиката за определяне на комплексната оценка на допуснатите до разглеждане оферти</w:t>
      </w:r>
      <w:r>
        <w:t xml:space="preserve"> </w:t>
      </w:r>
      <w:r w:rsidRPr="00F85BEA">
        <w:t>обхваща оценяването на показателите в следната последователност:</w:t>
      </w:r>
    </w:p>
    <w:p w:rsidR="00AF3236" w:rsidRPr="00F85BEA" w:rsidRDefault="00AF3236" w:rsidP="00AF3236">
      <w:pPr>
        <w:autoSpaceDE w:val="0"/>
        <w:autoSpaceDN w:val="0"/>
        <w:adjustRightInd w:val="0"/>
        <w:jc w:val="both"/>
      </w:pPr>
      <w:r w:rsidRPr="00F85BEA">
        <w:t>1. Оценяване на Показател 1 – Оценка на техническото предложение (ТП);</w:t>
      </w:r>
    </w:p>
    <w:p w:rsidR="00AF3236" w:rsidRPr="00F85BEA" w:rsidRDefault="00AF3236" w:rsidP="00AF3236">
      <w:pPr>
        <w:autoSpaceDE w:val="0"/>
        <w:autoSpaceDN w:val="0"/>
        <w:adjustRightInd w:val="0"/>
        <w:jc w:val="both"/>
      </w:pPr>
      <w:r w:rsidRPr="00F85BEA">
        <w:t>2. Оценяване на Показател 2 – Оценка на ценовото предложение (ЦП).</w:t>
      </w:r>
    </w:p>
    <w:p w:rsidR="00AF3236" w:rsidRDefault="00AF3236" w:rsidP="00AF3236">
      <w:pPr>
        <w:autoSpaceDE w:val="0"/>
        <w:autoSpaceDN w:val="0"/>
        <w:adjustRightInd w:val="0"/>
        <w:ind w:firstLine="397"/>
        <w:jc w:val="both"/>
      </w:pPr>
      <w:r w:rsidRPr="00F85BEA">
        <w:lastRenderedPageBreak/>
        <w:t>Комплексната оценка за съответната оферта се формира като сбор от Показател 1 – Оценка на</w:t>
      </w:r>
      <w:r>
        <w:t xml:space="preserve"> </w:t>
      </w:r>
      <w:r w:rsidRPr="00F85BEA">
        <w:t xml:space="preserve">техническото предложение (ТП) и Показател 2 – Оценка на ценовото предложение (ЦП). Коефициентът на тежест на оценката на техническото предложение при определянето на комплексната оценка за съответната офертата е </w:t>
      </w:r>
      <w:r w:rsidRPr="00F85BEA">
        <w:rPr>
          <w:b/>
          <w:bCs/>
        </w:rPr>
        <w:t>0,7</w:t>
      </w:r>
      <w:r w:rsidRPr="00F85BEA">
        <w:t>, а коефициентът на тежест на оценката на</w:t>
      </w:r>
      <w:r>
        <w:t xml:space="preserve"> </w:t>
      </w:r>
      <w:r w:rsidRPr="00F85BEA">
        <w:t xml:space="preserve">предлаганата цена за съответната оферта е </w:t>
      </w:r>
      <w:r w:rsidRPr="00F85BEA">
        <w:rPr>
          <w:b/>
          <w:bCs/>
        </w:rPr>
        <w:t>0,3</w:t>
      </w:r>
      <w:r w:rsidRPr="00F85BEA">
        <w:t>, изчислен по следната формула:</w:t>
      </w:r>
    </w:p>
    <w:p w:rsidR="00AF3236" w:rsidRPr="00F85BEA" w:rsidRDefault="00AF3236" w:rsidP="00AF3236">
      <w:pPr>
        <w:autoSpaceDE w:val="0"/>
        <w:autoSpaceDN w:val="0"/>
        <w:adjustRightInd w:val="0"/>
        <w:jc w:val="both"/>
      </w:pPr>
    </w:p>
    <w:p w:rsidR="00AF3236" w:rsidRDefault="00AF3236" w:rsidP="00AF3236">
      <w:pPr>
        <w:autoSpaceDE w:val="0"/>
        <w:autoSpaceDN w:val="0"/>
        <w:adjustRightInd w:val="0"/>
        <w:jc w:val="center"/>
      </w:pPr>
      <w:r w:rsidRPr="00294571">
        <w:rPr>
          <w:b/>
        </w:rPr>
        <w:t xml:space="preserve">КО </w:t>
      </w:r>
      <w:r w:rsidRPr="00294571">
        <w:rPr>
          <w:b/>
          <w:bCs/>
        </w:rPr>
        <w:t>= 0,7×</w:t>
      </w:r>
      <w:r w:rsidRPr="00294571">
        <w:rPr>
          <w:b/>
        </w:rPr>
        <w:t xml:space="preserve">ТП </w:t>
      </w:r>
      <w:r w:rsidRPr="00294571">
        <w:rPr>
          <w:b/>
          <w:bCs/>
        </w:rPr>
        <w:t>+ 0,3×</w:t>
      </w:r>
      <w:r w:rsidRPr="00294571">
        <w:rPr>
          <w:b/>
        </w:rPr>
        <w:t>ЦП</w:t>
      </w:r>
      <w:r w:rsidRPr="00F85BEA">
        <w:t>, приложима към всеки участник, където:</w:t>
      </w:r>
    </w:p>
    <w:p w:rsidR="00AF3236" w:rsidRPr="00F85BEA" w:rsidRDefault="00AF3236" w:rsidP="00AF3236">
      <w:pPr>
        <w:autoSpaceDE w:val="0"/>
        <w:autoSpaceDN w:val="0"/>
        <w:adjustRightInd w:val="0"/>
        <w:jc w:val="both"/>
      </w:pPr>
    </w:p>
    <w:p w:rsidR="00AF3236" w:rsidRDefault="00AF3236" w:rsidP="00AF3236">
      <w:pPr>
        <w:autoSpaceDE w:val="0"/>
        <w:autoSpaceDN w:val="0"/>
        <w:adjustRightInd w:val="0"/>
        <w:jc w:val="both"/>
      </w:pPr>
      <w:r w:rsidRPr="00294571">
        <w:rPr>
          <w:b/>
        </w:rPr>
        <w:t>КО</w:t>
      </w:r>
      <w:r w:rsidRPr="00F85BEA">
        <w:t xml:space="preserve"> - Комплексна оценка; </w:t>
      </w:r>
    </w:p>
    <w:p w:rsidR="00AF3236" w:rsidRDefault="00AF3236" w:rsidP="00AF3236">
      <w:pPr>
        <w:autoSpaceDE w:val="0"/>
        <w:autoSpaceDN w:val="0"/>
        <w:adjustRightInd w:val="0"/>
        <w:jc w:val="both"/>
      </w:pPr>
      <w:r w:rsidRPr="00294571">
        <w:rPr>
          <w:b/>
        </w:rPr>
        <w:t>ТП</w:t>
      </w:r>
      <w:r w:rsidRPr="00F85BEA">
        <w:t xml:space="preserve"> </w:t>
      </w:r>
      <w:r>
        <w:t xml:space="preserve">- </w:t>
      </w:r>
      <w:r w:rsidRPr="00F85BEA">
        <w:t xml:space="preserve">Оценка на Техническото предложение; </w:t>
      </w:r>
    </w:p>
    <w:p w:rsidR="00AF3236" w:rsidRPr="00F85BEA" w:rsidRDefault="00AF3236" w:rsidP="00AF3236">
      <w:pPr>
        <w:autoSpaceDE w:val="0"/>
        <w:autoSpaceDN w:val="0"/>
        <w:adjustRightInd w:val="0"/>
        <w:jc w:val="both"/>
      </w:pPr>
      <w:r w:rsidRPr="00294571">
        <w:rPr>
          <w:b/>
        </w:rPr>
        <w:t>ЦП</w:t>
      </w:r>
      <w:r w:rsidRPr="00F85BEA">
        <w:t xml:space="preserve"> </w:t>
      </w:r>
      <w:r>
        <w:t>-</w:t>
      </w:r>
      <w:r w:rsidRPr="00F85BEA">
        <w:t xml:space="preserve"> Оценка на Ценовото предложение.</w:t>
      </w:r>
    </w:p>
    <w:p w:rsidR="00AF3236" w:rsidRDefault="00AF3236" w:rsidP="00AF3236">
      <w:pPr>
        <w:autoSpaceDE w:val="0"/>
        <w:autoSpaceDN w:val="0"/>
        <w:adjustRightInd w:val="0"/>
        <w:jc w:val="both"/>
      </w:pPr>
    </w:p>
    <w:p w:rsidR="00AF3236" w:rsidRDefault="00AF3236" w:rsidP="00AF3236">
      <w:pPr>
        <w:autoSpaceDE w:val="0"/>
        <w:autoSpaceDN w:val="0"/>
        <w:adjustRightInd w:val="0"/>
        <w:ind w:firstLine="397"/>
        <w:jc w:val="both"/>
      </w:pPr>
      <w:r w:rsidRPr="00F85BEA">
        <w:t>Офертата, получила най-голям брой точки, се класира на първо място. Класирането на</w:t>
      </w:r>
      <w:r>
        <w:t xml:space="preserve"> </w:t>
      </w:r>
      <w:r w:rsidRPr="00F85BEA">
        <w:t>офертите се извършва по низходящ ред на получената комплексна оценка, изчислена на</w:t>
      </w:r>
      <w:r>
        <w:rPr>
          <w:lang w:val="en-US"/>
        </w:rPr>
        <w:t xml:space="preserve"> </w:t>
      </w:r>
      <w:r w:rsidRPr="00F85BEA">
        <w:t>база показателите за оценка, като на първо място се класира офертата с най-висока комплексна оценка. Оценките по отделните показатели се представят в числово изражение с</w:t>
      </w:r>
      <w:r>
        <w:t xml:space="preserve"> </w:t>
      </w:r>
      <w:r w:rsidRPr="00F85BEA">
        <w:t>точност до втория знак след десетичната запетая.</w:t>
      </w:r>
    </w:p>
    <w:p w:rsidR="00AF3236" w:rsidRPr="00F85BEA" w:rsidRDefault="00AF3236" w:rsidP="00AF3236">
      <w:pPr>
        <w:autoSpaceDE w:val="0"/>
        <w:autoSpaceDN w:val="0"/>
        <w:adjustRightInd w:val="0"/>
        <w:jc w:val="both"/>
      </w:pPr>
    </w:p>
    <w:p w:rsidR="00AF3236" w:rsidRPr="009A248F" w:rsidRDefault="00AF3236" w:rsidP="00AF3236">
      <w:pPr>
        <w:autoSpaceDE w:val="0"/>
        <w:autoSpaceDN w:val="0"/>
        <w:adjustRightInd w:val="0"/>
        <w:ind w:firstLine="397"/>
        <w:jc w:val="both"/>
        <w:rPr>
          <w:b/>
          <w:i/>
        </w:rPr>
      </w:pPr>
      <w:r w:rsidRPr="009A248F">
        <w:rPr>
          <w:b/>
          <w:bCs/>
          <w:i/>
        </w:rPr>
        <w:t xml:space="preserve">2. </w:t>
      </w:r>
      <w:r w:rsidRPr="009A248F">
        <w:rPr>
          <w:b/>
          <w:i/>
        </w:rPr>
        <w:t>Оценка на техническото предложение</w:t>
      </w:r>
    </w:p>
    <w:p w:rsidR="00AF3236" w:rsidRPr="00F85BEA" w:rsidRDefault="00AF3236" w:rsidP="00AF3236">
      <w:pPr>
        <w:autoSpaceDE w:val="0"/>
        <w:autoSpaceDN w:val="0"/>
        <w:adjustRightInd w:val="0"/>
        <w:ind w:firstLine="397"/>
        <w:jc w:val="both"/>
      </w:pPr>
      <w:r w:rsidRPr="00F85BEA">
        <w:t>В техническото предложение участникът следва да изложи подробно и мотивирано вижданията си за изпълнение целите на предмета на поръчката. Целта е да се гарантира качествено</w:t>
      </w:r>
      <w:r>
        <w:t xml:space="preserve"> </w:t>
      </w:r>
      <w:r w:rsidRPr="00F85BEA">
        <w:t>изпълнение на поръчката, като се установи способността на участника да изрази позиция по</w:t>
      </w:r>
      <w:r>
        <w:t xml:space="preserve"> </w:t>
      </w:r>
      <w:r w:rsidRPr="00F85BEA">
        <w:t>необходимите специфични аспекти, да се детайлизира предложението му за изпълнението на</w:t>
      </w:r>
      <w:r>
        <w:t xml:space="preserve"> </w:t>
      </w:r>
      <w:r w:rsidRPr="00F85BEA">
        <w:t>предмета и задачата на обществената поръчка, предвид конкретната законодателна рамка, за</w:t>
      </w:r>
      <w:r>
        <w:t xml:space="preserve"> </w:t>
      </w:r>
      <w:r w:rsidRPr="00F85BEA">
        <w:t>да се отговори на изискванията на Техническата спецификация.</w:t>
      </w:r>
    </w:p>
    <w:p w:rsidR="00AF3236" w:rsidRDefault="00AF3236" w:rsidP="00AF3236">
      <w:pPr>
        <w:autoSpaceDE w:val="0"/>
        <w:autoSpaceDN w:val="0"/>
        <w:adjustRightInd w:val="0"/>
        <w:ind w:firstLine="397"/>
        <w:jc w:val="both"/>
      </w:pPr>
    </w:p>
    <w:p w:rsidR="00AF3236" w:rsidRPr="00F85BEA" w:rsidRDefault="00AF3236" w:rsidP="00AF3236">
      <w:pPr>
        <w:autoSpaceDE w:val="0"/>
        <w:autoSpaceDN w:val="0"/>
        <w:adjustRightInd w:val="0"/>
        <w:ind w:firstLine="397"/>
        <w:jc w:val="both"/>
      </w:pPr>
      <w:r w:rsidRPr="00F85BEA">
        <w:t>Техническото предложение следва да съдържа следните компоненти:</w:t>
      </w:r>
    </w:p>
    <w:p w:rsidR="00AF3236" w:rsidRPr="00F85BEA" w:rsidRDefault="00AF3236" w:rsidP="00AF3236">
      <w:pPr>
        <w:autoSpaceDE w:val="0"/>
        <w:autoSpaceDN w:val="0"/>
        <w:adjustRightInd w:val="0"/>
        <w:ind w:firstLine="397"/>
        <w:jc w:val="both"/>
      </w:pPr>
      <w:r w:rsidRPr="00F85BEA">
        <w:rPr>
          <w:b/>
          <w:bCs/>
        </w:rPr>
        <w:t xml:space="preserve">- </w:t>
      </w:r>
      <w:r w:rsidRPr="00F85BEA">
        <w:t>Програма за осъществяване целите на предмета на поръчката</w:t>
      </w:r>
    </w:p>
    <w:p w:rsidR="00AF3236" w:rsidRPr="00F85BEA" w:rsidRDefault="00AF3236" w:rsidP="00AF3236">
      <w:pPr>
        <w:autoSpaceDE w:val="0"/>
        <w:autoSpaceDN w:val="0"/>
        <w:adjustRightInd w:val="0"/>
        <w:ind w:firstLine="397"/>
        <w:jc w:val="both"/>
      </w:pPr>
      <w:r w:rsidRPr="00F85BEA">
        <w:rPr>
          <w:b/>
          <w:bCs/>
        </w:rPr>
        <w:t xml:space="preserve">- </w:t>
      </w:r>
      <w:r w:rsidRPr="00F85BEA">
        <w:t>Организация на работата за изпълнение на поръчката</w:t>
      </w:r>
    </w:p>
    <w:p w:rsidR="00AF3236" w:rsidRPr="00F85BEA" w:rsidRDefault="00AF3236" w:rsidP="00AF3236">
      <w:pPr>
        <w:autoSpaceDE w:val="0"/>
        <w:autoSpaceDN w:val="0"/>
        <w:adjustRightInd w:val="0"/>
        <w:ind w:firstLine="397"/>
        <w:jc w:val="both"/>
      </w:pPr>
      <w:r w:rsidRPr="00F85BEA">
        <w:t>- Предложение за управление на риска.</w:t>
      </w:r>
    </w:p>
    <w:p w:rsidR="00AF3236" w:rsidRDefault="00AF3236" w:rsidP="00AF3236">
      <w:pPr>
        <w:autoSpaceDE w:val="0"/>
        <w:autoSpaceDN w:val="0"/>
        <w:adjustRightInd w:val="0"/>
        <w:ind w:firstLine="397"/>
        <w:jc w:val="both"/>
      </w:pPr>
    </w:p>
    <w:p w:rsidR="00AF3236" w:rsidRDefault="00AF3236" w:rsidP="00AF3236">
      <w:pPr>
        <w:autoSpaceDE w:val="0"/>
        <w:autoSpaceDN w:val="0"/>
        <w:adjustRightInd w:val="0"/>
        <w:ind w:firstLine="397"/>
        <w:jc w:val="both"/>
      </w:pPr>
      <w:r w:rsidRPr="00F85BEA">
        <w:t>Изчисляването на оценката за Показател 1 - „Оценка на техническото предложение“ (ТП) се</w:t>
      </w:r>
      <w:r>
        <w:t xml:space="preserve"> </w:t>
      </w:r>
      <w:r w:rsidRPr="00F85BEA">
        <w:t>извършва чрез долупосочените подпоказатели за всеки участник. Крайната максимална стойност е 100 точки и се изчислява по формулата:</w:t>
      </w:r>
    </w:p>
    <w:p w:rsidR="00AF3236" w:rsidRPr="00F85BEA" w:rsidRDefault="00AF3236" w:rsidP="00AF3236">
      <w:pPr>
        <w:autoSpaceDE w:val="0"/>
        <w:autoSpaceDN w:val="0"/>
        <w:adjustRightInd w:val="0"/>
        <w:ind w:firstLine="397"/>
        <w:jc w:val="both"/>
      </w:pPr>
    </w:p>
    <w:p w:rsidR="00AF3236" w:rsidRDefault="00AF3236" w:rsidP="00AF3236">
      <w:pPr>
        <w:autoSpaceDE w:val="0"/>
        <w:autoSpaceDN w:val="0"/>
        <w:adjustRightInd w:val="0"/>
        <w:jc w:val="center"/>
        <w:rPr>
          <w:b/>
          <w:bCs/>
        </w:rPr>
      </w:pPr>
      <w:r w:rsidRPr="00063872">
        <w:rPr>
          <w:b/>
        </w:rPr>
        <w:t xml:space="preserve">ТП </w:t>
      </w:r>
      <w:r w:rsidRPr="00063872">
        <w:rPr>
          <w:b/>
          <w:bCs/>
        </w:rPr>
        <w:t>= (</w:t>
      </w:r>
      <w:r w:rsidRPr="00063872">
        <w:rPr>
          <w:b/>
        </w:rPr>
        <w:t xml:space="preserve">ТПУ </w:t>
      </w:r>
      <w:r w:rsidRPr="00063872">
        <w:rPr>
          <w:b/>
          <w:bCs/>
        </w:rPr>
        <w:t xml:space="preserve">/ </w:t>
      </w:r>
      <w:r w:rsidRPr="00063872">
        <w:rPr>
          <w:b/>
        </w:rPr>
        <w:t>ТП</w:t>
      </w:r>
      <w:r w:rsidRPr="00063872">
        <w:rPr>
          <w:b/>
          <w:bCs/>
        </w:rPr>
        <w:t>MAX) × 100</w:t>
      </w:r>
      <w:r w:rsidRPr="00F85BEA">
        <w:rPr>
          <w:b/>
          <w:bCs/>
        </w:rPr>
        <w:t xml:space="preserve">, </w:t>
      </w:r>
      <w:r w:rsidRPr="00F85BEA">
        <w:t>където</w:t>
      </w:r>
      <w:r w:rsidRPr="00F85BEA">
        <w:rPr>
          <w:b/>
          <w:bCs/>
        </w:rPr>
        <w:t>:</w:t>
      </w:r>
    </w:p>
    <w:p w:rsidR="00AF3236" w:rsidRPr="00F85BEA" w:rsidRDefault="00AF3236" w:rsidP="00AF3236">
      <w:pPr>
        <w:autoSpaceDE w:val="0"/>
        <w:autoSpaceDN w:val="0"/>
        <w:adjustRightInd w:val="0"/>
        <w:jc w:val="both"/>
        <w:rPr>
          <w:b/>
          <w:bCs/>
        </w:rPr>
      </w:pPr>
    </w:p>
    <w:p w:rsidR="00AF3236" w:rsidRDefault="00AF3236" w:rsidP="00AF3236">
      <w:pPr>
        <w:autoSpaceDE w:val="0"/>
        <w:autoSpaceDN w:val="0"/>
        <w:adjustRightInd w:val="0"/>
        <w:ind w:firstLine="397"/>
        <w:jc w:val="both"/>
      </w:pPr>
      <w:r w:rsidRPr="00063872">
        <w:rPr>
          <w:b/>
        </w:rPr>
        <w:t xml:space="preserve">ТПУ </w:t>
      </w:r>
      <w:r w:rsidRPr="00F85BEA">
        <w:t xml:space="preserve">- брой точки, които е получил участника като сбор от средните* оценки по трите подпоказателя ТП1, ТП2 и ТП3 (ТПУ = ТП1 + ТП2 + ТП3), посочени в таблицата по-долу. </w:t>
      </w:r>
    </w:p>
    <w:p w:rsidR="00AF3236" w:rsidRDefault="00AF3236" w:rsidP="00AF3236">
      <w:pPr>
        <w:autoSpaceDE w:val="0"/>
        <w:autoSpaceDN w:val="0"/>
        <w:adjustRightInd w:val="0"/>
        <w:ind w:firstLine="397"/>
        <w:jc w:val="both"/>
      </w:pPr>
      <w:r w:rsidRPr="00063872">
        <w:rPr>
          <w:b/>
        </w:rPr>
        <w:t>ТП</w:t>
      </w:r>
      <w:r w:rsidRPr="00063872">
        <w:rPr>
          <w:b/>
          <w:bCs/>
        </w:rPr>
        <w:t>1</w:t>
      </w:r>
      <w:r w:rsidRPr="00F85BEA">
        <w:rPr>
          <w:b/>
          <w:bCs/>
        </w:rPr>
        <w:t xml:space="preserve"> </w:t>
      </w:r>
      <w:r w:rsidRPr="00F85BEA">
        <w:t>е</w:t>
      </w:r>
      <w:r>
        <w:t xml:space="preserve"> </w:t>
      </w:r>
      <w:r w:rsidRPr="00F85BEA">
        <w:t xml:space="preserve">оценката на участника на предложената от него Програма за осъществяване целите на предмета на поръчката като част от техническото му предложение и брой присъдени точки съгласно приложената таблица. </w:t>
      </w:r>
    </w:p>
    <w:p w:rsidR="00AF3236" w:rsidRDefault="00AF3236" w:rsidP="00AF3236">
      <w:pPr>
        <w:autoSpaceDE w:val="0"/>
        <w:autoSpaceDN w:val="0"/>
        <w:adjustRightInd w:val="0"/>
        <w:ind w:firstLine="397"/>
        <w:jc w:val="both"/>
      </w:pPr>
      <w:r w:rsidRPr="00063872">
        <w:rPr>
          <w:b/>
        </w:rPr>
        <w:t>ТП</w:t>
      </w:r>
      <w:r w:rsidRPr="00063872">
        <w:rPr>
          <w:b/>
          <w:bCs/>
        </w:rPr>
        <w:t>2</w:t>
      </w:r>
      <w:r w:rsidRPr="00F85BEA">
        <w:rPr>
          <w:b/>
          <w:bCs/>
        </w:rPr>
        <w:t xml:space="preserve"> </w:t>
      </w:r>
      <w:r w:rsidRPr="00F85BEA">
        <w:t>е оценката на участника на предложената от него Организация на работата за изпълнение на поръчката като част от техническото му предложение и</w:t>
      </w:r>
      <w:r>
        <w:t xml:space="preserve"> </w:t>
      </w:r>
      <w:r w:rsidRPr="00F85BEA">
        <w:t xml:space="preserve">брой присъдени точки съгласно приложената таблица. </w:t>
      </w:r>
    </w:p>
    <w:p w:rsidR="00AF3236" w:rsidRPr="00F85BEA" w:rsidRDefault="00AF3236" w:rsidP="00AF3236">
      <w:pPr>
        <w:autoSpaceDE w:val="0"/>
        <w:autoSpaceDN w:val="0"/>
        <w:adjustRightInd w:val="0"/>
        <w:ind w:firstLine="397"/>
        <w:jc w:val="both"/>
      </w:pPr>
      <w:r w:rsidRPr="00063872">
        <w:rPr>
          <w:b/>
        </w:rPr>
        <w:lastRenderedPageBreak/>
        <w:t>ТП</w:t>
      </w:r>
      <w:r w:rsidRPr="00063872">
        <w:rPr>
          <w:b/>
          <w:bCs/>
        </w:rPr>
        <w:t>3</w:t>
      </w:r>
      <w:r w:rsidRPr="00F85BEA">
        <w:rPr>
          <w:b/>
          <w:bCs/>
        </w:rPr>
        <w:t xml:space="preserve"> </w:t>
      </w:r>
      <w:r w:rsidRPr="00F85BEA">
        <w:t>е оценката на предложението на</w:t>
      </w:r>
      <w:r>
        <w:t xml:space="preserve"> </w:t>
      </w:r>
      <w:r w:rsidRPr="00F85BEA">
        <w:t>участника за управление на риска при изпълнение на поръчката като част от техническото му</w:t>
      </w:r>
      <w:r>
        <w:t xml:space="preserve"> </w:t>
      </w:r>
      <w:r w:rsidRPr="00F85BEA">
        <w:t>предложение и брой присъдени точки съгласно приложената таблица.</w:t>
      </w:r>
    </w:p>
    <w:p w:rsidR="00AF3236" w:rsidRDefault="00AF3236" w:rsidP="00AF3236">
      <w:pPr>
        <w:autoSpaceDE w:val="0"/>
        <w:autoSpaceDN w:val="0"/>
        <w:adjustRightInd w:val="0"/>
        <w:ind w:firstLine="397"/>
        <w:jc w:val="both"/>
      </w:pPr>
      <w:r w:rsidRPr="00063872">
        <w:rPr>
          <w:b/>
        </w:rPr>
        <w:t>ТП</w:t>
      </w:r>
      <w:r w:rsidRPr="00063872">
        <w:rPr>
          <w:b/>
          <w:bCs/>
        </w:rPr>
        <w:t>MAX</w:t>
      </w:r>
      <w:r w:rsidRPr="00F85BEA">
        <w:rPr>
          <w:b/>
          <w:bCs/>
        </w:rPr>
        <w:t xml:space="preserve"> </w:t>
      </w:r>
      <w:r w:rsidRPr="00F85BEA">
        <w:t>– максимален възможен брой точки по съответната таблица.</w:t>
      </w:r>
    </w:p>
    <w:p w:rsidR="00AF3236" w:rsidRPr="00F85BEA" w:rsidRDefault="00AF3236" w:rsidP="00AF3236">
      <w:pPr>
        <w:autoSpaceDE w:val="0"/>
        <w:autoSpaceDN w:val="0"/>
        <w:adjustRightInd w:val="0"/>
        <w:ind w:firstLine="397"/>
        <w:jc w:val="both"/>
      </w:pPr>
    </w:p>
    <w:p w:rsidR="00AF3236" w:rsidRDefault="00AF3236" w:rsidP="00AF3236">
      <w:pPr>
        <w:autoSpaceDE w:val="0"/>
        <w:autoSpaceDN w:val="0"/>
        <w:adjustRightInd w:val="0"/>
        <w:ind w:firstLine="397"/>
        <w:jc w:val="both"/>
      </w:pPr>
      <w:r w:rsidRPr="00F85BEA">
        <w:t>Предложението на участник следва да съдържа всички предложения, описани в даден ред от</w:t>
      </w:r>
      <w:r>
        <w:t xml:space="preserve"> </w:t>
      </w:r>
      <w:r w:rsidRPr="00F85BEA">
        <w:t>таблицата за оценка по подпоказатели, за да му бъдат присъдени съответния брой точки.</w:t>
      </w:r>
    </w:p>
    <w:tbl>
      <w:tblPr>
        <w:tblStyle w:val="TableGrid"/>
        <w:tblW w:w="9072" w:type="dxa"/>
        <w:tblInd w:w="108" w:type="dxa"/>
        <w:tblLook w:val="04A0"/>
      </w:tblPr>
      <w:tblGrid>
        <w:gridCol w:w="6487"/>
        <w:gridCol w:w="2585"/>
      </w:tblGrid>
      <w:tr w:rsidR="00AF3236" w:rsidTr="004B5670">
        <w:tc>
          <w:tcPr>
            <w:tcW w:w="6487" w:type="dxa"/>
          </w:tcPr>
          <w:p w:rsidR="00AF3236" w:rsidRPr="00063872" w:rsidRDefault="00AF3236" w:rsidP="004B56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3872">
              <w:rPr>
                <w:b/>
                <w:sz w:val="24"/>
                <w:szCs w:val="24"/>
              </w:rPr>
              <w:t xml:space="preserve">Показател </w:t>
            </w:r>
            <w:r w:rsidRPr="00063872">
              <w:rPr>
                <w:b/>
                <w:bCs/>
                <w:sz w:val="24"/>
                <w:szCs w:val="24"/>
              </w:rPr>
              <w:t xml:space="preserve">1 – </w:t>
            </w:r>
            <w:r w:rsidRPr="00063872">
              <w:rPr>
                <w:b/>
                <w:sz w:val="24"/>
                <w:szCs w:val="24"/>
              </w:rPr>
              <w:t xml:space="preserve">Оценка на техническото предложение </w:t>
            </w:r>
            <w:r w:rsidRPr="00063872">
              <w:rPr>
                <w:b/>
                <w:bCs/>
                <w:sz w:val="24"/>
                <w:szCs w:val="24"/>
              </w:rPr>
              <w:t xml:space="preserve">- </w:t>
            </w:r>
            <w:r w:rsidRPr="00063872">
              <w:rPr>
                <w:b/>
                <w:sz w:val="24"/>
                <w:szCs w:val="24"/>
              </w:rPr>
              <w:t>ТП</w:t>
            </w:r>
          </w:p>
        </w:tc>
        <w:tc>
          <w:tcPr>
            <w:tcW w:w="2585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Максимален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брой точки</w:t>
            </w:r>
          </w:p>
        </w:tc>
      </w:tr>
      <w:tr w:rsidR="00AF3236" w:rsidTr="004B5670">
        <w:tc>
          <w:tcPr>
            <w:tcW w:w="6487" w:type="dxa"/>
          </w:tcPr>
          <w:p w:rsidR="00AF3236" w:rsidRPr="00063872" w:rsidRDefault="00AF3236" w:rsidP="004B56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63872">
              <w:rPr>
                <w:b/>
                <w:bCs/>
                <w:sz w:val="24"/>
                <w:szCs w:val="24"/>
              </w:rPr>
              <w:t xml:space="preserve">1. </w:t>
            </w:r>
            <w:r w:rsidRPr="00063872">
              <w:rPr>
                <w:b/>
                <w:sz w:val="24"/>
                <w:szCs w:val="24"/>
              </w:rPr>
              <w:t xml:space="preserve">Програма за осъществяване целите на предмета на поръчката </w:t>
            </w:r>
            <w:r w:rsidRPr="00063872">
              <w:rPr>
                <w:b/>
                <w:bCs/>
                <w:sz w:val="24"/>
                <w:szCs w:val="24"/>
              </w:rPr>
              <w:t xml:space="preserve">– </w:t>
            </w:r>
            <w:r w:rsidRPr="00063872">
              <w:rPr>
                <w:b/>
                <w:sz w:val="24"/>
                <w:szCs w:val="24"/>
              </w:rPr>
              <w:t>под</w:t>
            </w:r>
            <w:r w:rsidRPr="00063872">
              <w:rPr>
                <w:b/>
                <w:bCs/>
                <w:sz w:val="24"/>
                <w:szCs w:val="24"/>
              </w:rPr>
              <w:t xml:space="preserve">- </w:t>
            </w:r>
            <w:r w:rsidRPr="00063872">
              <w:rPr>
                <w:b/>
                <w:sz w:val="24"/>
                <w:szCs w:val="24"/>
              </w:rPr>
              <w:t>показател ТП</w:t>
            </w:r>
            <w:r w:rsidRPr="000638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BEA">
              <w:rPr>
                <w:b/>
                <w:bCs/>
                <w:sz w:val="24"/>
                <w:szCs w:val="24"/>
              </w:rPr>
              <w:t>30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3236" w:rsidTr="004B5670">
        <w:tc>
          <w:tcPr>
            <w:tcW w:w="6487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Участникът е предложил програма за осъществяване целите на предмета на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поръчката, в която само са изброени всички дейности от Техническата спецификация.</w:t>
            </w:r>
          </w:p>
        </w:tc>
        <w:tc>
          <w:tcPr>
            <w:tcW w:w="2585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5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3236" w:rsidTr="004B5670">
        <w:tc>
          <w:tcPr>
            <w:tcW w:w="6487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Участникът е предложил програма за осъществяване целите на предмета на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 xml:space="preserve">поръчката, в която са изброени всички дейности от Техническата спецификация. 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В допълнение</w:t>
            </w:r>
            <w:r w:rsidRPr="00F85BEA">
              <w:rPr>
                <w:b/>
                <w:bCs/>
                <w:sz w:val="24"/>
                <w:szCs w:val="24"/>
              </w:rPr>
              <w:t xml:space="preserve">, </w:t>
            </w:r>
            <w:r w:rsidRPr="00F85BEA">
              <w:rPr>
                <w:sz w:val="24"/>
                <w:szCs w:val="24"/>
              </w:rPr>
              <w:t>за всички дейности са посочени подход, инструменти и методи** за постигане резултатите на обществената поръчка.</w:t>
            </w:r>
          </w:p>
        </w:tc>
        <w:tc>
          <w:tcPr>
            <w:tcW w:w="2585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15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3236" w:rsidTr="004B5670">
        <w:tc>
          <w:tcPr>
            <w:tcW w:w="6487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Участникът е предложил програма за осъществяване целите на предмета на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поръчката, в която са изброени всички дейности от Техническата спецификация. За всички дейности са посочени подход, инструменти и методи** за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 xml:space="preserve">постигане резултатите на обществената поръчка. 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В допълнение участникът е предложил начина, по който посочените подход, инструменти и методи ще се прилагат на практика при изпълнение на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дейностите, за да се постигнат съответните резултати от поръчката.</w:t>
            </w:r>
          </w:p>
        </w:tc>
        <w:tc>
          <w:tcPr>
            <w:tcW w:w="2585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20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3236" w:rsidTr="004B5670">
        <w:tc>
          <w:tcPr>
            <w:tcW w:w="6487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Участникът е предложил програма за осъществяване целите на предмета на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поръчката, в която са изброени всички дейности от Техническата спецификация. За всички дейности са посочени подход, инструменти и методи за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постигане резултатите на обществената поръчка. Участникът е предложил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начина, по който посочените подход, инструменти и методи ще се прилагат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на практика при изпълнение на дейностите, за да се постигнат съответните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 xml:space="preserve">резултати от поръчката. 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В допълнение предложението за осъществяване на дейностите е обвързано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с приложимите нормативни изисквания, стандарти, наръчници и указания.</w:t>
            </w:r>
          </w:p>
        </w:tc>
        <w:tc>
          <w:tcPr>
            <w:tcW w:w="2585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25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3236" w:rsidTr="004B5670">
        <w:tc>
          <w:tcPr>
            <w:tcW w:w="6487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Участникът е предложил програма за осъществяване целите на предмета на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поръчката, в която са изброени всички дейности от Техническата спецификация. За всички дейности са посочени подход, инструменти и методи за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постигане резултатите на обществената поръчка. Участникът е предложил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начина, по който посочените подход, инструменти и методи ще се прилагат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 xml:space="preserve">при изпълнение на дейностите за постигане на съответните </w:t>
            </w:r>
            <w:r w:rsidRPr="00F85BEA">
              <w:rPr>
                <w:sz w:val="24"/>
                <w:szCs w:val="24"/>
              </w:rPr>
              <w:lastRenderedPageBreak/>
              <w:t>резултати.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Предложението за осъществяване на дейностите е обвързано с приложими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 xml:space="preserve">нормативни изисквания, стандарти, наръчници и указания. 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В допълнение в предложената програма са разработени конкретни мерки за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осигуряване на високо качество на изпълнение на дейностите, посочени в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Техническата спецификация***.</w:t>
            </w:r>
          </w:p>
        </w:tc>
        <w:tc>
          <w:tcPr>
            <w:tcW w:w="2585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lastRenderedPageBreak/>
              <w:t>30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3236" w:rsidTr="004B5670">
        <w:tc>
          <w:tcPr>
            <w:tcW w:w="6487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6B35">
              <w:rPr>
                <w:b/>
                <w:bCs/>
                <w:sz w:val="24"/>
                <w:szCs w:val="24"/>
              </w:rPr>
              <w:lastRenderedPageBreak/>
              <w:t xml:space="preserve">2. </w:t>
            </w:r>
            <w:r w:rsidRPr="00736B35">
              <w:rPr>
                <w:b/>
                <w:sz w:val="24"/>
                <w:szCs w:val="24"/>
              </w:rPr>
              <w:t xml:space="preserve">Организация на работа за изпълнение на поръчката </w:t>
            </w:r>
            <w:r w:rsidRPr="00736B35">
              <w:rPr>
                <w:b/>
                <w:bCs/>
                <w:sz w:val="24"/>
                <w:szCs w:val="24"/>
              </w:rPr>
              <w:t xml:space="preserve">– </w:t>
            </w:r>
            <w:r w:rsidRPr="00736B35">
              <w:rPr>
                <w:b/>
                <w:sz w:val="24"/>
                <w:szCs w:val="24"/>
              </w:rPr>
              <w:t>подпоказател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6B35">
              <w:rPr>
                <w:b/>
                <w:sz w:val="24"/>
                <w:szCs w:val="24"/>
              </w:rPr>
              <w:t>ТП</w:t>
            </w:r>
            <w:r w:rsidRPr="00736B3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BEA">
              <w:rPr>
                <w:b/>
                <w:bCs/>
                <w:sz w:val="24"/>
                <w:szCs w:val="24"/>
              </w:rPr>
              <w:t>25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3236" w:rsidTr="004B5670">
        <w:tc>
          <w:tcPr>
            <w:tcW w:w="6487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Участникът е предложил организация на работата, която само преповтаря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дейностите от Техническата спецификация със съответните срокове (не по</w:t>
            </w:r>
            <w:r>
              <w:rPr>
                <w:sz w:val="24"/>
                <w:szCs w:val="24"/>
              </w:rPr>
              <w:t>в</w:t>
            </w:r>
            <w:r w:rsidRPr="00F85BEA">
              <w:rPr>
                <w:sz w:val="24"/>
                <w:szCs w:val="24"/>
              </w:rPr>
              <w:t>ече от максималните срокове).</w:t>
            </w:r>
          </w:p>
        </w:tc>
        <w:tc>
          <w:tcPr>
            <w:tcW w:w="2585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5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3236" w:rsidTr="004B5670">
        <w:tc>
          <w:tcPr>
            <w:tcW w:w="6487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Участникът е предложил организация на работата, съобразно дейностите от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Техническата спецификация със съответните срокове (не повече от максималните срокове). В допълнение е представена организационна структура на екипа за изпълнение, включваща както ръководител и ключови експерти, така и допълнителни членове на екипа, със съответните задължения и отговорности при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осъществяване на поръчката.</w:t>
            </w:r>
          </w:p>
        </w:tc>
        <w:tc>
          <w:tcPr>
            <w:tcW w:w="2585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15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3236" w:rsidTr="004B5670">
        <w:tc>
          <w:tcPr>
            <w:tcW w:w="6487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Участникът е предложил организация на работата, съобразно дейностите от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Техническата спецификация със съответните срокове (не повече от максималните срокове). Участникът е представил организационна структура на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екипа за изпълнение, включваща както ръководител и ключови експерти,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 xml:space="preserve">така и допълнителни членове на екипа, със съответните задължения и отговорности при осъществяване на поръчката. 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В допълнение участникът е представил табличен план - график за изпълнение на поръчката и е включил описателна част****, която обосновава в ло</w:t>
            </w:r>
            <w:r>
              <w:rPr>
                <w:sz w:val="24"/>
                <w:szCs w:val="24"/>
              </w:rPr>
              <w:t xml:space="preserve">гическа </w:t>
            </w:r>
            <w:r w:rsidRPr="00F85BEA">
              <w:rPr>
                <w:sz w:val="24"/>
                <w:szCs w:val="24"/>
              </w:rPr>
              <w:t>и взаимосвързана последователност предложената Програма за изпълнение на поръчката.</w:t>
            </w:r>
          </w:p>
        </w:tc>
        <w:tc>
          <w:tcPr>
            <w:tcW w:w="2585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20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3236" w:rsidTr="004B5670">
        <w:tc>
          <w:tcPr>
            <w:tcW w:w="6487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 xml:space="preserve">Участникът е предложил организация на работата, </w:t>
            </w:r>
            <w:r>
              <w:rPr>
                <w:sz w:val="24"/>
                <w:szCs w:val="24"/>
              </w:rPr>
              <w:t xml:space="preserve">съобразно дейностите от </w:t>
            </w:r>
            <w:r w:rsidRPr="00F85BEA">
              <w:rPr>
                <w:sz w:val="24"/>
                <w:szCs w:val="24"/>
              </w:rPr>
              <w:t>Техническата спецификация със съответните срокове (не повече от максималните срокове). Представена е организационна структура на екипа за изпълнение, включваща както ръководител и ключови експерти, така и допълнителни членове на екипа, със съответните задължения и отговорности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при осъществяване на поръчката. Участникът е представил табличен план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график за изпълнение на поръчката и е включил описателна част*** към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него, която обосновава в логическа и взаимосвързана последователност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 xml:space="preserve">предложената Програма за изпълнение на поръчката. 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В допълнение участникът е предложил линиите на взаимодействие и йерархично положение и докладване вътре и извън екипа. Предвидени са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мерки за наблюдение и контрол на изпълнението на дейностите, като част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 xml:space="preserve">от </w:t>
            </w:r>
            <w:r w:rsidRPr="00F85BEA">
              <w:rPr>
                <w:sz w:val="24"/>
                <w:szCs w:val="24"/>
              </w:rPr>
              <w:lastRenderedPageBreak/>
              <w:t>подхода за управление на изпълнението на обществената поръчка.</w:t>
            </w:r>
          </w:p>
        </w:tc>
        <w:tc>
          <w:tcPr>
            <w:tcW w:w="2585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lastRenderedPageBreak/>
              <w:t>25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3236" w:rsidTr="004B5670">
        <w:tc>
          <w:tcPr>
            <w:tcW w:w="6487" w:type="dxa"/>
          </w:tcPr>
          <w:p w:rsidR="00AF3236" w:rsidRPr="00736B35" w:rsidRDefault="00AF3236" w:rsidP="004B567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36B35">
              <w:rPr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736B35">
              <w:rPr>
                <w:b/>
                <w:sz w:val="24"/>
                <w:szCs w:val="24"/>
              </w:rPr>
              <w:t xml:space="preserve">Предложение за управление на риска </w:t>
            </w:r>
            <w:r w:rsidRPr="00736B35">
              <w:rPr>
                <w:b/>
                <w:bCs/>
                <w:sz w:val="24"/>
                <w:szCs w:val="24"/>
              </w:rPr>
              <w:t xml:space="preserve">- </w:t>
            </w:r>
            <w:r w:rsidRPr="00736B35">
              <w:rPr>
                <w:b/>
                <w:sz w:val="24"/>
                <w:szCs w:val="24"/>
              </w:rPr>
              <w:t>подпоказател ТП</w:t>
            </w:r>
            <w:r w:rsidRPr="00736B3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BEA">
              <w:rPr>
                <w:b/>
                <w:bCs/>
                <w:sz w:val="24"/>
                <w:szCs w:val="24"/>
              </w:rPr>
              <w:t>15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3236" w:rsidTr="004B5670">
        <w:tc>
          <w:tcPr>
            <w:tcW w:w="6487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Участникът само е заявил, че ще управлява риска като е изброил рисковете,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>описани в Техническата спецификация.</w:t>
            </w:r>
          </w:p>
        </w:tc>
        <w:tc>
          <w:tcPr>
            <w:tcW w:w="2585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5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3236" w:rsidTr="004B5670">
        <w:tc>
          <w:tcPr>
            <w:tcW w:w="6487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 xml:space="preserve">Участникът е заявил, че ще управлява риска като е изброил рисковете, описани в Техническата спецификация. 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В допълнение за всяка дейност участник</w:t>
            </w:r>
            <w:r>
              <w:rPr>
                <w:sz w:val="24"/>
                <w:szCs w:val="24"/>
              </w:rPr>
              <w:t>ът е изготвил анализ и оценка н</w:t>
            </w:r>
            <w:r w:rsidRPr="00F85BEA">
              <w:rPr>
                <w:sz w:val="24"/>
                <w:szCs w:val="24"/>
              </w:rPr>
              <w:t>рисковете, описани в Техническата спецификация.</w:t>
            </w:r>
          </w:p>
        </w:tc>
        <w:tc>
          <w:tcPr>
            <w:tcW w:w="2585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10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3236" w:rsidTr="004B5670">
        <w:tc>
          <w:tcPr>
            <w:tcW w:w="6487" w:type="dxa"/>
          </w:tcPr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Участникът е заявил, че ще управлява риска като е изброил рисковете, описани в Техническата спецификация. За всяка дейност участникът е изготвил</w:t>
            </w:r>
            <w:r>
              <w:rPr>
                <w:sz w:val="24"/>
                <w:szCs w:val="24"/>
              </w:rPr>
              <w:t xml:space="preserve"> </w:t>
            </w:r>
            <w:r w:rsidRPr="00F85BEA">
              <w:rPr>
                <w:sz w:val="24"/>
                <w:szCs w:val="24"/>
              </w:rPr>
              <w:t xml:space="preserve">анализ и оценка на рисковете, описани в Техническата спецификация. 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В допълнение участникът е разработил цялостна***** стратегия за управление на риска.</w:t>
            </w:r>
          </w:p>
        </w:tc>
        <w:tc>
          <w:tcPr>
            <w:tcW w:w="2585" w:type="dxa"/>
          </w:tcPr>
          <w:p w:rsidR="00AF3236" w:rsidRPr="00F85BEA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BEA">
              <w:rPr>
                <w:sz w:val="24"/>
                <w:szCs w:val="24"/>
              </w:rPr>
              <w:t>15</w:t>
            </w:r>
          </w:p>
          <w:p w:rsidR="00AF3236" w:rsidRDefault="00AF3236" w:rsidP="004B56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3236" w:rsidTr="004B5670">
        <w:tc>
          <w:tcPr>
            <w:tcW w:w="6487" w:type="dxa"/>
          </w:tcPr>
          <w:p w:rsidR="00AF3236" w:rsidRPr="000E456E" w:rsidRDefault="00AF3236" w:rsidP="004B5670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E456E">
              <w:rPr>
                <w:b/>
                <w:sz w:val="24"/>
                <w:szCs w:val="24"/>
              </w:rPr>
              <w:t xml:space="preserve">Обща оценка </w:t>
            </w:r>
            <w:r w:rsidRPr="000E456E">
              <w:rPr>
                <w:b/>
                <w:bCs/>
                <w:sz w:val="24"/>
                <w:szCs w:val="24"/>
              </w:rPr>
              <w:t xml:space="preserve">– </w:t>
            </w:r>
            <w:r w:rsidRPr="000E456E">
              <w:rPr>
                <w:b/>
                <w:sz w:val="24"/>
                <w:szCs w:val="24"/>
              </w:rPr>
              <w:t>ТП</w:t>
            </w:r>
            <w:r w:rsidRPr="000E456E">
              <w:rPr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2585" w:type="dxa"/>
          </w:tcPr>
          <w:p w:rsidR="00AF3236" w:rsidRPr="0069227F" w:rsidRDefault="00AF3236" w:rsidP="004B56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BEA">
              <w:rPr>
                <w:b/>
                <w:bCs/>
                <w:sz w:val="24"/>
                <w:szCs w:val="24"/>
              </w:rPr>
              <w:t xml:space="preserve">70 </w:t>
            </w:r>
            <w:r w:rsidRPr="00F85BEA">
              <w:rPr>
                <w:sz w:val="24"/>
                <w:szCs w:val="24"/>
              </w:rPr>
              <w:t>т</w:t>
            </w:r>
            <w:r w:rsidRPr="00F85BEA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AF3236" w:rsidRPr="00F85BEA" w:rsidRDefault="00AF3236" w:rsidP="00AF3236">
      <w:pPr>
        <w:autoSpaceDE w:val="0"/>
        <w:autoSpaceDN w:val="0"/>
        <w:adjustRightInd w:val="0"/>
        <w:jc w:val="both"/>
      </w:pPr>
    </w:p>
    <w:p w:rsidR="00AF3236" w:rsidRPr="007E5164" w:rsidRDefault="00AF3236" w:rsidP="00AF3236">
      <w:pPr>
        <w:autoSpaceDE w:val="0"/>
        <w:autoSpaceDN w:val="0"/>
        <w:adjustRightInd w:val="0"/>
        <w:jc w:val="both"/>
      </w:pPr>
      <w:r w:rsidRPr="007E5164">
        <w:t xml:space="preserve">* </w:t>
      </w:r>
      <w:r w:rsidR="007E5164" w:rsidRPr="007E5164">
        <w:t>Поставянето на точките на конкретния участник по всеки подпоказател се осъществява въз основа на експертното мнение на членовете от комисията.</w:t>
      </w:r>
    </w:p>
    <w:p w:rsidR="00AF3236" w:rsidRPr="00F85BEA" w:rsidRDefault="00AF3236" w:rsidP="00AF3236">
      <w:pPr>
        <w:autoSpaceDE w:val="0"/>
        <w:autoSpaceDN w:val="0"/>
        <w:adjustRightInd w:val="0"/>
        <w:jc w:val="both"/>
      </w:pPr>
      <w:r w:rsidRPr="00F85BEA">
        <w:t>** Под подход, инструменти и методи се разбира съвкупността от начините и средствата,</w:t>
      </w:r>
      <w:r>
        <w:t xml:space="preserve"> </w:t>
      </w:r>
      <w:r w:rsidRPr="00F85BEA">
        <w:t>които участникът предлага да използва при практическото изпълнение на дейностите, посочени в Техническата спецификация за да постигне резултатите, посочени в Техническата</w:t>
      </w:r>
      <w:r>
        <w:t xml:space="preserve"> </w:t>
      </w:r>
      <w:r w:rsidRPr="00F85BEA">
        <w:t>спецификация.</w:t>
      </w:r>
    </w:p>
    <w:p w:rsidR="00AF3236" w:rsidRPr="00F85BEA" w:rsidRDefault="00AF3236" w:rsidP="00AF3236">
      <w:pPr>
        <w:autoSpaceDE w:val="0"/>
        <w:autoSpaceDN w:val="0"/>
        <w:adjustRightInd w:val="0"/>
        <w:jc w:val="both"/>
      </w:pPr>
      <w:r w:rsidRPr="00F85BEA">
        <w:t>*** Под „високо качество“ се разбира такова изпълнение на дейностите, което осигурява</w:t>
      </w:r>
      <w:r>
        <w:t xml:space="preserve"> </w:t>
      </w:r>
      <w:r w:rsidRPr="00F85BEA">
        <w:t>постигане на посочените в поръчката резултати, които да отговарят на изискванията, ограниченията, критериите и условията, посочени в Насоките за кандидатстване по Процедура за</w:t>
      </w:r>
      <w:r>
        <w:t xml:space="preserve"> </w:t>
      </w:r>
      <w:r w:rsidRPr="00F85BEA">
        <w:t>предоставяне на безвъзмездна финансова помощ BG16M10P002-2.001, обявена от Управляващия орган на Оперативна програма „Околна среда 2014-2020 г.“</w:t>
      </w:r>
    </w:p>
    <w:p w:rsidR="00AF3236" w:rsidRPr="00F85BEA" w:rsidRDefault="00AF3236" w:rsidP="00AF3236">
      <w:pPr>
        <w:autoSpaceDE w:val="0"/>
        <w:autoSpaceDN w:val="0"/>
        <w:adjustRightInd w:val="0"/>
        <w:jc w:val="both"/>
      </w:pPr>
      <w:r w:rsidRPr="00F85BEA">
        <w:t>**** Описателната част, включена в предложението за организация на работата, взима предвид и разглежда времето, както за подготвителните дейности, така и за основните задачи за</w:t>
      </w:r>
      <w:r>
        <w:t xml:space="preserve"> </w:t>
      </w:r>
      <w:r w:rsidRPr="00F85BEA">
        <w:t>изпълнението на всяка дейност, посочена в Техническата спецификация и представлява</w:t>
      </w:r>
      <w:r>
        <w:t xml:space="preserve"> </w:t>
      </w:r>
      <w:r w:rsidRPr="00F85BEA">
        <w:t>предложението на участника за организация на човешки, информационни и материални ресурси, така че да се изпълни предмета на поръчката в пълния й обем и в дефинирания срок.</w:t>
      </w:r>
    </w:p>
    <w:p w:rsidR="00AF3236" w:rsidRDefault="00AF3236" w:rsidP="00AF3236">
      <w:pPr>
        <w:autoSpaceDE w:val="0"/>
        <w:autoSpaceDN w:val="0"/>
        <w:adjustRightInd w:val="0"/>
        <w:jc w:val="both"/>
      </w:pPr>
      <w:r w:rsidRPr="00F85BEA">
        <w:t>***** Под „цялостна“ се разбира стратегия, включваща съвкупността от мерките и механизмите за противодействие на посочените в Техническата спецификация рискове</w:t>
      </w:r>
      <w:r>
        <w:t>.</w:t>
      </w:r>
    </w:p>
    <w:p w:rsidR="00AF3236" w:rsidRPr="00F85BEA" w:rsidRDefault="00AF3236" w:rsidP="00AF3236">
      <w:pPr>
        <w:autoSpaceDE w:val="0"/>
        <w:autoSpaceDN w:val="0"/>
        <w:adjustRightInd w:val="0"/>
        <w:jc w:val="both"/>
      </w:pPr>
    </w:p>
    <w:p w:rsidR="00AF3236" w:rsidRPr="00F85BEA" w:rsidRDefault="00AF3236" w:rsidP="00AF3236">
      <w:pPr>
        <w:autoSpaceDE w:val="0"/>
        <w:autoSpaceDN w:val="0"/>
        <w:adjustRightInd w:val="0"/>
        <w:ind w:firstLine="397"/>
        <w:jc w:val="both"/>
      </w:pPr>
      <w:r w:rsidRPr="00F85BEA">
        <w:t>В случай че участник представи програма, която не включва всички дейности от Техническата спецификация, същият се отстранява от участие и офертата му не се допуска до класиране.</w:t>
      </w:r>
    </w:p>
    <w:p w:rsidR="00AF3236" w:rsidRPr="00F85BEA" w:rsidRDefault="00AF3236" w:rsidP="00AF3236">
      <w:pPr>
        <w:autoSpaceDE w:val="0"/>
        <w:autoSpaceDN w:val="0"/>
        <w:adjustRightInd w:val="0"/>
        <w:ind w:firstLine="397"/>
        <w:jc w:val="both"/>
      </w:pPr>
      <w:r w:rsidRPr="00F85BEA">
        <w:t>В случай че участник предложи организация на работата, която не включва всички дейности</w:t>
      </w:r>
      <w:r>
        <w:t xml:space="preserve"> </w:t>
      </w:r>
      <w:r w:rsidRPr="00F85BEA">
        <w:t>от Техническата спецификация или предложените срокове са по-големи от максимално заложените в Техническата спецификация, същият се отстранява от участие и офертата му не се</w:t>
      </w:r>
      <w:r>
        <w:t xml:space="preserve"> </w:t>
      </w:r>
      <w:r w:rsidRPr="00F85BEA">
        <w:t>допуска до класиране.</w:t>
      </w:r>
    </w:p>
    <w:p w:rsidR="00AF3236" w:rsidRDefault="00AF3236" w:rsidP="00AF3236">
      <w:pPr>
        <w:autoSpaceDE w:val="0"/>
        <w:autoSpaceDN w:val="0"/>
        <w:adjustRightInd w:val="0"/>
        <w:ind w:firstLine="397"/>
        <w:jc w:val="both"/>
      </w:pPr>
      <w:r w:rsidRPr="00F85BEA">
        <w:t>В случай че участник представи предложение за управление на риска, което не включва</w:t>
      </w:r>
      <w:r>
        <w:rPr>
          <w:lang w:val="en-US"/>
        </w:rPr>
        <w:t xml:space="preserve"> </w:t>
      </w:r>
      <w:r w:rsidRPr="00F85BEA">
        <w:t>всички рискове от Техническата спецификация, същият се отстранява от участие и офертата</w:t>
      </w:r>
      <w:r>
        <w:t xml:space="preserve"> </w:t>
      </w:r>
      <w:r w:rsidRPr="00F85BEA">
        <w:t>му не се допуска до класиране.</w:t>
      </w:r>
    </w:p>
    <w:p w:rsidR="00AF3236" w:rsidRPr="00F85BEA" w:rsidRDefault="00AF3236" w:rsidP="00AF3236">
      <w:pPr>
        <w:autoSpaceDE w:val="0"/>
        <w:autoSpaceDN w:val="0"/>
        <w:adjustRightInd w:val="0"/>
        <w:ind w:firstLine="397"/>
        <w:jc w:val="both"/>
      </w:pPr>
    </w:p>
    <w:p w:rsidR="00AF3236" w:rsidRPr="009A248F" w:rsidRDefault="00AF3236" w:rsidP="00AF3236">
      <w:pPr>
        <w:autoSpaceDE w:val="0"/>
        <w:autoSpaceDN w:val="0"/>
        <w:adjustRightInd w:val="0"/>
        <w:ind w:firstLine="397"/>
        <w:jc w:val="both"/>
        <w:rPr>
          <w:b/>
          <w:i/>
        </w:rPr>
      </w:pPr>
      <w:r w:rsidRPr="009A248F">
        <w:rPr>
          <w:b/>
          <w:bCs/>
          <w:i/>
        </w:rPr>
        <w:t xml:space="preserve">3. </w:t>
      </w:r>
      <w:r w:rsidRPr="009A248F">
        <w:rPr>
          <w:b/>
          <w:i/>
        </w:rPr>
        <w:t>Оценка на ценовото предложение</w:t>
      </w:r>
    </w:p>
    <w:p w:rsidR="00AF3236" w:rsidRDefault="00AF3236" w:rsidP="00AF3236">
      <w:pPr>
        <w:autoSpaceDE w:val="0"/>
        <w:autoSpaceDN w:val="0"/>
        <w:adjustRightInd w:val="0"/>
        <w:ind w:firstLine="397"/>
        <w:jc w:val="both"/>
      </w:pPr>
      <w:r w:rsidRPr="00F85BEA">
        <w:t>Максималната възможна оценка на ценовото предложение е 100 т. Оценяването на Показател</w:t>
      </w:r>
      <w:r>
        <w:t xml:space="preserve"> </w:t>
      </w:r>
      <w:r w:rsidRPr="00F85BEA">
        <w:t>2 – „Оценка на ценовото предложение“ (ЦП) се извършва за всеки участник по следната</w:t>
      </w:r>
      <w:r>
        <w:t xml:space="preserve"> </w:t>
      </w:r>
      <w:r w:rsidRPr="00F85BEA">
        <w:t>формула:</w:t>
      </w:r>
    </w:p>
    <w:p w:rsidR="00AF3236" w:rsidRPr="00F85BEA" w:rsidRDefault="00AF3236" w:rsidP="00AF3236">
      <w:pPr>
        <w:tabs>
          <w:tab w:val="left" w:pos="1260"/>
        </w:tabs>
        <w:autoSpaceDE w:val="0"/>
        <w:autoSpaceDN w:val="0"/>
        <w:adjustRightInd w:val="0"/>
        <w:jc w:val="both"/>
      </w:pPr>
      <w:r>
        <w:tab/>
      </w:r>
    </w:p>
    <w:p w:rsidR="00AF3236" w:rsidRDefault="00AF3236" w:rsidP="00AF3236">
      <w:pPr>
        <w:autoSpaceDE w:val="0"/>
        <w:autoSpaceDN w:val="0"/>
        <w:adjustRightInd w:val="0"/>
        <w:jc w:val="center"/>
      </w:pPr>
      <w:r w:rsidRPr="0069227F">
        <w:rPr>
          <w:b/>
        </w:rPr>
        <w:t xml:space="preserve">ЦП </w:t>
      </w:r>
      <w:r w:rsidRPr="0069227F">
        <w:rPr>
          <w:b/>
          <w:bCs/>
        </w:rPr>
        <w:t>= (</w:t>
      </w:r>
      <w:r w:rsidRPr="0069227F">
        <w:rPr>
          <w:b/>
        </w:rPr>
        <w:t>ЦП</w:t>
      </w:r>
      <w:r w:rsidRPr="0069227F">
        <w:rPr>
          <w:b/>
          <w:bCs/>
        </w:rPr>
        <w:t xml:space="preserve">MIN / </w:t>
      </w:r>
      <w:r w:rsidRPr="0069227F">
        <w:rPr>
          <w:b/>
        </w:rPr>
        <w:t>ЦПУ</w:t>
      </w:r>
      <w:r w:rsidRPr="0069227F">
        <w:rPr>
          <w:b/>
          <w:bCs/>
        </w:rPr>
        <w:t>) × 100</w:t>
      </w:r>
      <w:r w:rsidRPr="00F85BEA">
        <w:t>, където</w:t>
      </w:r>
    </w:p>
    <w:p w:rsidR="00AF3236" w:rsidRPr="00F85BEA" w:rsidRDefault="00AF3236" w:rsidP="00AF3236">
      <w:pPr>
        <w:autoSpaceDE w:val="0"/>
        <w:autoSpaceDN w:val="0"/>
        <w:adjustRightInd w:val="0"/>
        <w:jc w:val="both"/>
      </w:pPr>
    </w:p>
    <w:p w:rsidR="00AF3236" w:rsidRDefault="00AF3236" w:rsidP="00AF3236">
      <w:pPr>
        <w:autoSpaceDE w:val="0"/>
        <w:autoSpaceDN w:val="0"/>
        <w:adjustRightInd w:val="0"/>
        <w:ind w:firstLine="397"/>
        <w:jc w:val="both"/>
      </w:pPr>
      <w:r w:rsidRPr="0069227F">
        <w:rPr>
          <w:b/>
        </w:rPr>
        <w:t>ЦП</w:t>
      </w:r>
      <w:r w:rsidRPr="0069227F">
        <w:rPr>
          <w:b/>
          <w:bCs/>
        </w:rPr>
        <w:t>MIN</w:t>
      </w:r>
      <w:r w:rsidRPr="00F85BEA">
        <w:rPr>
          <w:b/>
          <w:bCs/>
        </w:rPr>
        <w:t xml:space="preserve"> </w:t>
      </w:r>
      <w:r w:rsidRPr="00F85BEA">
        <w:t>представлява най-ниската предложена цена в лева, без вкл. ДДС, от всички ценови</w:t>
      </w:r>
      <w:r>
        <w:t xml:space="preserve"> </w:t>
      </w:r>
      <w:r w:rsidRPr="00F85BEA">
        <w:t xml:space="preserve">предложения. </w:t>
      </w:r>
    </w:p>
    <w:p w:rsidR="00AF3236" w:rsidRPr="00F85BEA" w:rsidRDefault="00AF3236" w:rsidP="00AF3236">
      <w:pPr>
        <w:autoSpaceDE w:val="0"/>
        <w:autoSpaceDN w:val="0"/>
        <w:adjustRightInd w:val="0"/>
        <w:ind w:firstLine="397"/>
        <w:jc w:val="both"/>
      </w:pPr>
      <w:r w:rsidRPr="0069227F">
        <w:rPr>
          <w:b/>
        </w:rPr>
        <w:t>ЦПУ</w:t>
      </w:r>
      <w:r w:rsidRPr="00F85BEA">
        <w:t xml:space="preserve"> представлява предложената обща цена в лева, без вкл. ДДС, на съответния участник в</w:t>
      </w:r>
      <w:r>
        <w:t xml:space="preserve"> </w:t>
      </w:r>
      <w:r w:rsidRPr="00F85BEA">
        <w:t>ценовото му предложение</w:t>
      </w:r>
      <w:r>
        <w:t>.</w:t>
      </w:r>
    </w:p>
    <w:p w:rsidR="00AF3236" w:rsidRDefault="00AF3236" w:rsidP="00AF3236">
      <w:pPr>
        <w:autoSpaceDE w:val="0"/>
        <w:autoSpaceDN w:val="0"/>
        <w:adjustRightInd w:val="0"/>
        <w:ind w:firstLine="397"/>
        <w:jc w:val="both"/>
      </w:pPr>
      <w:r w:rsidRPr="00F85BEA">
        <w:t>За нуждите на тази методика всички дробни числа, които могат да се получат при прилагане</w:t>
      </w:r>
      <w:r>
        <w:t xml:space="preserve"> </w:t>
      </w:r>
      <w:r w:rsidRPr="00F85BEA">
        <w:t>на съответната формула, се закръгляват до втория знак след десетичната запетая.</w:t>
      </w:r>
    </w:p>
    <w:p w:rsidR="00AF3236" w:rsidRDefault="00AF3236" w:rsidP="00AF3236">
      <w:pPr>
        <w:autoSpaceDE w:val="0"/>
        <w:autoSpaceDN w:val="0"/>
        <w:adjustRightInd w:val="0"/>
        <w:jc w:val="both"/>
      </w:pPr>
    </w:p>
    <w:p w:rsidR="000004CB" w:rsidRPr="000004CB" w:rsidRDefault="000004CB" w:rsidP="000004C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15C76" w:rsidRDefault="00315C76" w:rsidP="000370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FF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Pr="00212DFF">
        <w:rPr>
          <w:rFonts w:ascii="Times New Roman" w:hAnsi="Times New Roman" w:cs="Times New Roman"/>
          <w:b/>
          <w:sz w:val="24"/>
          <w:szCs w:val="24"/>
        </w:rPr>
        <w:t>ДОКУМЕНТАЦИЯ ЗА УЧАСТИЕ В ПРОЦЕДУРАТА</w:t>
      </w:r>
    </w:p>
    <w:p w:rsidR="0043147F" w:rsidRPr="000004CB" w:rsidRDefault="0043147F" w:rsidP="000004C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004CB">
        <w:rPr>
          <w:rFonts w:ascii="Times New Roman" w:hAnsi="Times New Roman" w:cs="Times New Roman"/>
          <w:sz w:val="24"/>
          <w:szCs w:val="24"/>
        </w:rPr>
        <w:t xml:space="preserve">Документацията за участие се публикува в профила на купувача на възложителя, от където може да бъде изтеглена безплатно (не се изисква регистрация). </w:t>
      </w:r>
    </w:p>
    <w:p w:rsidR="0043147F" w:rsidRPr="000004CB" w:rsidRDefault="0043147F" w:rsidP="000004C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004CB">
        <w:rPr>
          <w:rFonts w:ascii="Times New Roman" w:hAnsi="Times New Roman" w:cs="Times New Roman"/>
          <w:sz w:val="24"/>
          <w:szCs w:val="24"/>
        </w:rPr>
        <w:t xml:space="preserve">В електронната преписка на поръчката в „Профил на купувача“, възложителят ще публикува всички съобщения до участниците, разяснения по документацията за участие и други документи в съответствие с чл. 22б от ЗОП. </w:t>
      </w:r>
    </w:p>
    <w:p w:rsidR="000004CB" w:rsidRPr="000004CB" w:rsidRDefault="000004CB" w:rsidP="000004C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004CB" w:rsidRDefault="00315C76" w:rsidP="00000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4CB">
        <w:rPr>
          <w:rFonts w:ascii="Times New Roman" w:hAnsi="Times New Roman" w:cs="Times New Roman"/>
          <w:b/>
          <w:sz w:val="24"/>
          <w:szCs w:val="24"/>
        </w:rPr>
        <w:t>V</w:t>
      </w:r>
      <w:r w:rsidR="00001B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04CB">
        <w:rPr>
          <w:rFonts w:ascii="Times New Roman" w:hAnsi="Times New Roman" w:cs="Times New Roman"/>
          <w:b/>
          <w:sz w:val="24"/>
          <w:szCs w:val="24"/>
        </w:rPr>
        <w:t>. ОБМЕН НА ИНФОРМАЦИЯТА ПРИ ПРОВЕЖДАНЕ НА ПРОЦЕДУРАТА</w:t>
      </w:r>
    </w:p>
    <w:p w:rsidR="00676B89" w:rsidRDefault="00676B89" w:rsidP="00676B89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004CB">
        <w:rPr>
          <w:rFonts w:ascii="Times New Roman" w:hAnsi="Times New Roman" w:cs="Times New Roman"/>
          <w:sz w:val="24"/>
          <w:szCs w:val="24"/>
        </w:rPr>
        <w:t xml:space="preserve">Обменът на информация по повод и във връзка с настоящата обществена поръчка, е в писмен вид и може да се извърши по пощата, по факс,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възложителя. </w:t>
      </w:r>
    </w:p>
    <w:p w:rsidR="00315C76" w:rsidRPr="0027288A" w:rsidRDefault="00315C76" w:rsidP="000004C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Обменът и съхраняването на информация в хода на провеждане на процедурата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извършват по начин, гарантиращ целостта, достоверността и поверителността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офертите.</w:t>
      </w:r>
    </w:p>
    <w:p w:rsidR="00315C76" w:rsidRPr="0027288A" w:rsidRDefault="00315C76" w:rsidP="000004C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При промяна в посочения адрес и факс за кореспонденция участниците са длъжни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надлежно писмено да уведомят Възложителя.</w:t>
      </w:r>
    </w:p>
    <w:p w:rsidR="00315C76" w:rsidRPr="0027288A" w:rsidRDefault="00315C76" w:rsidP="000004CB">
      <w:pPr>
        <w:pStyle w:val="NoSpacing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Неправилно посочен адрес или факс за кореспонд</w:t>
      </w:r>
      <w:r>
        <w:rPr>
          <w:rFonts w:ascii="Times New Roman" w:hAnsi="Times New Roman" w:cs="Times New Roman"/>
          <w:sz w:val="24"/>
          <w:szCs w:val="24"/>
        </w:rPr>
        <w:t>енция или не уведомяване за про</w:t>
      </w:r>
      <w:r w:rsidRPr="0027288A">
        <w:rPr>
          <w:rFonts w:ascii="Times New Roman" w:hAnsi="Times New Roman" w:cs="Times New Roman"/>
          <w:sz w:val="24"/>
          <w:szCs w:val="24"/>
        </w:rPr>
        <w:t>мяна на адреса или факса за кореспонденция освобождава Възложителя от отговорност за неточно изпращане на уведомленията или информацията.</w:t>
      </w:r>
    </w:p>
    <w:p w:rsidR="00315C76" w:rsidRPr="0027288A" w:rsidRDefault="00315C76" w:rsidP="002728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0B6D" w:rsidRDefault="000004CB" w:rsidP="00000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B63F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01BE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30B6D" w:rsidRPr="004B63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0B6D" w:rsidRPr="004B63F3">
        <w:rPr>
          <w:rFonts w:ascii="Times New Roman" w:hAnsi="Times New Roman" w:cs="Times New Roman"/>
          <w:b/>
          <w:sz w:val="24"/>
          <w:szCs w:val="24"/>
        </w:rPr>
        <w:t>СКЛЮЧВАНЕ НА ДОГОВОР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След приключване работата на комисията, назначена за разглеждане, оценка и класиране на офертите, възложителят издава мотивирано решение, с което обявява класираните участници и участника, определен за изпълнител на поръчката.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Възложителят сключва писмен договор за обществена поръчка с участника, определен за изпълнител в резултат на проведената процедура. Договорът се сключва в едномесечен срок след влизане в сила на решението за определяне на изпълнител или на определението, с което е допуснато предварително изпълнение на това решение, но не преди изтичане на 14-дневен срок от уведомяването на заинтересованите участници за решението за определяне на изпълнител, с изключение на случаите по чл. 41а от ЗОП.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 сключване на договор, определеният за изпълнител участник следва да представи: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документи от съответните компетентни органи за удостоверяване липсата на обстоятелствата по чл. 47, ал. 1, т. 1-4, и ал. 2, т. 1 и 5 от ЗОП, освен когато </w:t>
      </w:r>
      <w:r>
        <w:rPr>
          <w:color w:val="auto"/>
          <w:sz w:val="23"/>
          <w:szCs w:val="23"/>
        </w:rPr>
        <w:lastRenderedPageBreak/>
        <w:t xml:space="preserve">законодателството на държавата, в която е установен, предвижда включването на някое от тези обстоятелства в публичен безплатен регистър или предоставянето им безплатно на възложителя;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гаранция за изпълнение на договора, която е в размер съгласно проекта на договор – </w:t>
      </w:r>
      <w:r w:rsidRPr="00097EB5">
        <w:rPr>
          <w:color w:val="auto"/>
          <w:sz w:val="23"/>
          <w:szCs w:val="23"/>
        </w:rPr>
        <w:t>Приложение №</w:t>
      </w:r>
      <w:r w:rsidR="00D445AE" w:rsidRPr="00097EB5">
        <w:rPr>
          <w:color w:val="auto"/>
          <w:sz w:val="23"/>
          <w:szCs w:val="23"/>
        </w:rPr>
        <w:t>12</w:t>
      </w:r>
      <w:r w:rsidRPr="00097EB5">
        <w:rPr>
          <w:color w:val="auto"/>
          <w:sz w:val="23"/>
          <w:szCs w:val="23"/>
        </w:rPr>
        <w:t>. При представяне на банкова гаранция за изпълнение, срокът на</w:t>
      </w:r>
      <w:r>
        <w:rPr>
          <w:color w:val="auto"/>
          <w:sz w:val="23"/>
          <w:szCs w:val="23"/>
        </w:rPr>
        <w:t xml:space="preserve"> валидност на същата и условията за нейното освобождаване/усвояване следва да бъдат съобразени със срока на действие на договора и условията, посочени в него. </w:t>
      </w:r>
    </w:p>
    <w:p w:rsidR="0043147F" w:rsidRDefault="0043147F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Договорът, който ще бъде сключен с участника, определен за изпълнител на поръчката, ще е със срок на </w:t>
      </w:r>
      <w:r w:rsidRPr="00C55385">
        <w:rPr>
          <w:color w:val="auto"/>
          <w:sz w:val="23"/>
          <w:szCs w:val="23"/>
        </w:rPr>
        <w:t xml:space="preserve">действие до </w:t>
      </w:r>
      <w:r w:rsidR="007E5164">
        <w:rPr>
          <w:color w:val="auto"/>
          <w:sz w:val="23"/>
          <w:szCs w:val="23"/>
        </w:rPr>
        <w:t>180 календарни дни.</w:t>
      </w:r>
    </w:p>
    <w:p w:rsidR="0043147F" w:rsidRDefault="0043147F" w:rsidP="0043147F">
      <w:pPr>
        <w:pStyle w:val="Default"/>
        <w:ind w:firstLine="284"/>
        <w:jc w:val="both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Когато участникът, определен за изпълнител, е посочил в офертата си, че при изпълнението предмета на обществената поръчка ще използва подизпълнители, той сключва договор за подизпълнение с подизпълнителите, посочени в офертата. Договорът за подизпълнение се сключва при условията и по реда на чл. 45а и 45б от ЗОП. </w:t>
      </w:r>
    </w:p>
    <w:p w:rsidR="000004CB" w:rsidRDefault="000004CB" w:rsidP="0043147F">
      <w:pPr>
        <w:pStyle w:val="Default"/>
        <w:ind w:firstLine="284"/>
        <w:jc w:val="both"/>
        <w:rPr>
          <w:color w:val="auto"/>
          <w:sz w:val="23"/>
          <w:szCs w:val="23"/>
        </w:rPr>
      </w:pPr>
    </w:p>
    <w:p w:rsidR="00C30B6D" w:rsidRDefault="000004CB" w:rsidP="00000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001BED" w:rsidRPr="000004C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0B6D" w:rsidRPr="000004CB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C30B6D" w:rsidRPr="000004CB">
        <w:rPr>
          <w:rFonts w:ascii="Times New Roman" w:hAnsi="Times New Roman" w:cs="Times New Roman"/>
          <w:b/>
          <w:sz w:val="24"/>
          <w:szCs w:val="24"/>
        </w:rPr>
        <w:t>ДРУГИ УКАЗАНИЯ</w:t>
      </w:r>
    </w:p>
    <w:p w:rsidR="000370CE" w:rsidRDefault="000370CE" w:rsidP="000370CE">
      <w:pPr>
        <w:pStyle w:val="Default"/>
        <w:ind w:firstLine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Участниците са длъжни в процеса на провеждане на процедурата да уведомяват възложителя за всички настъпили промени в обстоятелства по чл. 47, ал. 1 и 5, и посочените в обявлението обстоятелства по чл. 47, ал. 2 от ЗОП, в 7-дневен срок от настъпването им. </w:t>
      </w:r>
    </w:p>
    <w:p w:rsidR="000370CE" w:rsidRPr="007E5164" w:rsidRDefault="000370CE" w:rsidP="000370CE">
      <w:pPr>
        <w:pStyle w:val="Default"/>
        <w:ind w:firstLine="284"/>
        <w:jc w:val="both"/>
        <w:rPr>
          <w:color w:val="auto"/>
          <w:sz w:val="23"/>
          <w:szCs w:val="23"/>
        </w:rPr>
      </w:pPr>
      <w:r w:rsidRPr="007E5164">
        <w:rPr>
          <w:color w:val="auto"/>
          <w:sz w:val="23"/>
          <w:szCs w:val="23"/>
        </w:rPr>
        <w:t xml:space="preserve">Банковата сметка на Община </w:t>
      </w:r>
      <w:r w:rsidR="00676B89" w:rsidRPr="007E5164">
        <w:rPr>
          <w:color w:val="auto"/>
          <w:sz w:val="23"/>
          <w:szCs w:val="23"/>
        </w:rPr>
        <w:t>Асеновград</w:t>
      </w:r>
      <w:r w:rsidRPr="007E5164">
        <w:rPr>
          <w:color w:val="auto"/>
          <w:sz w:val="23"/>
          <w:szCs w:val="23"/>
        </w:rPr>
        <w:t xml:space="preserve"> е: </w:t>
      </w:r>
    </w:p>
    <w:p w:rsidR="007E5164" w:rsidRPr="007E5164" w:rsidRDefault="007E5164" w:rsidP="000370CE">
      <w:pPr>
        <w:pStyle w:val="Default"/>
        <w:ind w:firstLine="284"/>
        <w:jc w:val="both"/>
        <w:rPr>
          <w:b/>
          <w:bCs/>
          <w:color w:val="auto"/>
          <w:sz w:val="23"/>
          <w:szCs w:val="23"/>
        </w:rPr>
      </w:pPr>
      <w:r w:rsidRPr="007E5164">
        <w:rPr>
          <w:b/>
          <w:bCs/>
          <w:color w:val="auto"/>
          <w:sz w:val="23"/>
          <w:szCs w:val="23"/>
        </w:rPr>
        <w:t>IBAN: BG54IORT73753304000003</w:t>
      </w:r>
    </w:p>
    <w:p w:rsidR="000370CE" w:rsidRPr="007E5164" w:rsidRDefault="007E5164" w:rsidP="000370CE">
      <w:pPr>
        <w:pStyle w:val="Default"/>
        <w:ind w:firstLine="284"/>
        <w:jc w:val="both"/>
        <w:rPr>
          <w:color w:val="auto"/>
          <w:sz w:val="23"/>
          <w:szCs w:val="23"/>
        </w:rPr>
      </w:pPr>
      <w:r w:rsidRPr="007E5164">
        <w:rPr>
          <w:b/>
          <w:bCs/>
          <w:color w:val="auto"/>
          <w:sz w:val="23"/>
          <w:szCs w:val="23"/>
        </w:rPr>
        <w:t>BIC: IORTBGSF</w:t>
      </w:r>
      <w:r w:rsidR="000370CE" w:rsidRPr="007E5164">
        <w:rPr>
          <w:color w:val="auto"/>
          <w:sz w:val="23"/>
          <w:szCs w:val="23"/>
        </w:rPr>
        <w:t xml:space="preserve"> </w:t>
      </w:r>
    </w:p>
    <w:p w:rsidR="000370CE" w:rsidRDefault="00676B89" w:rsidP="000370CE">
      <w:pPr>
        <w:pStyle w:val="Default"/>
        <w:ind w:firstLine="284"/>
        <w:jc w:val="both"/>
        <w:rPr>
          <w:color w:val="auto"/>
          <w:sz w:val="23"/>
          <w:szCs w:val="23"/>
        </w:rPr>
      </w:pPr>
      <w:r w:rsidRPr="007E5164">
        <w:rPr>
          <w:b/>
          <w:color w:val="auto"/>
          <w:sz w:val="23"/>
          <w:szCs w:val="23"/>
        </w:rPr>
        <w:t>Банка</w:t>
      </w:r>
      <w:r w:rsidR="007E5164" w:rsidRPr="007E5164">
        <w:rPr>
          <w:b/>
          <w:color w:val="auto"/>
          <w:sz w:val="23"/>
          <w:szCs w:val="23"/>
        </w:rPr>
        <w:t xml:space="preserve"> </w:t>
      </w:r>
      <w:r w:rsidR="007E5164" w:rsidRPr="007E5164">
        <w:rPr>
          <w:b/>
          <w:bCs/>
          <w:color w:val="auto"/>
          <w:sz w:val="23"/>
          <w:szCs w:val="23"/>
        </w:rPr>
        <w:t>„Инвестбанк” АД</w:t>
      </w:r>
    </w:p>
    <w:p w:rsidR="000370CE" w:rsidRDefault="000370CE" w:rsidP="000370CE">
      <w:pPr>
        <w:pStyle w:val="Default"/>
        <w:ind w:firstLine="284"/>
        <w:jc w:val="both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 xml:space="preserve">За неуредените в настоящата документация въпроси, се прилагат разпоредбите на Закона за обществените поръчки и подзаконовите актове по прилагането му, както и приложимите национални и международни нормативни актове, съобразно предмета на поръчката. </w:t>
      </w:r>
    </w:p>
    <w:p w:rsidR="00AE12FA" w:rsidRPr="00AE12FA" w:rsidRDefault="00AE12FA" w:rsidP="000370CE">
      <w:pPr>
        <w:pStyle w:val="Default"/>
        <w:ind w:firstLine="284"/>
        <w:jc w:val="both"/>
        <w:rPr>
          <w:color w:val="auto"/>
          <w:sz w:val="23"/>
          <w:szCs w:val="23"/>
          <w:lang w:val="en-US"/>
        </w:rPr>
      </w:pPr>
    </w:p>
    <w:p w:rsidR="009B58A0" w:rsidRPr="00AE12FA" w:rsidRDefault="00AE12FA" w:rsidP="00AE12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12FA">
        <w:rPr>
          <w:rFonts w:ascii="Times New Roman" w:hAnsi="Times New Roman" w:cs="Times New Roman"/>
          <w:b/>
          <w:sz w:val="24"/>
          <w:szCs w:val="24"/>
        </w:rPr>
        <w:t>IX. ПРИЛОЖЕНИЯ №1-12</w:t>
      </w:r>
    </w:p>
    <w:sectPr w:rsidR="009B58A0" w:rsidRPr="00AE12FA" w:rsidSect="009B5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A9" w:rsidRDefault="001941A9" w:rsidP="00C30B6D">
      <w:r>
        <w:separator/>
      </w:r>
    </w:p>
  </w:endnote>
  <w:endnote w:type="continuationSeparator" w:id="0">
    <w:p w:rsidR="001941A9" w:rsidRDefault="001941A9" w:rsidP="00C3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1" w:rsidRDefault="00BC43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470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5670" w:rsidRPr="00BC4301" w:rsidRDefault="0041012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43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4DA5" w:rsidRPr="00BC43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43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4D5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C43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5670" w:rsidRDefault="004B56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1" w:rsidRDefault="00BC43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A9" w:rsidRDefault="001941A9" w:rsidP="00C30B6D">
      <w:r>
        <w:separator/>
      </w:r>
    </w:p>
  </w:footnote>
  <w:footnote w:type="continuationSeparator" w:id="0">
    <w:p w:rsidR="001941A9" w:rsidRDefault="001941A9" w:rsidP="00C30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1" w:rsidRDefault="00BC43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1" w:rsidRDefault="00BC43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1" w:rsidRDefault="00BC43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7215"/>
    <w:multiLevelType w:val="hybridMultilevel"/>
    <w:tmpl w:val="69C643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B6D"/>
    <w:rsid w:val="000004CB"/>
    <w:rsid w:val="00001BED"/>
    <w:rsid w:val="000370CE"/>
    <w:rsid w:val="00097EB5"/>
    <w:rsid w:val="000F2C66"/>
    <w:rsid w:val="0014177B"/>
    <w:rsid w:val="00160F81"/>
    <w:rsid w:val="001610B4"/>
    <w:rsid w:val="00183E92"/>
    <w:rsid w:val="001941A9"/>
    <w:rsid w:val="00212DFF"/>
    <w:rsid w:val="00224D5A"/>
    <w:rsid w:val="0025329D"/>
    <w:rsid w:val="00254DA5"/>
    <w:rsid w:val="0027288A"/>
    <w:rsid w:val="002B66D6"/>
    <w:rsid w:val="002E72FE"/>
    <w:rsid w:val="002F65D1"/>
    <w:rsid w:val="00315C76"/>
    <w:rsid w:val="003226D2"/>
    <w:rsid w:val="0035167B"/>
    <w:rsid w:val="003A6F29"/>
    <w:rsid w:val="00400752"/>
    <w:rsid w:val="004075C3"/>
    <w:rsid w:val="00410125"/>
    <w:rsid w:val="004102C9"/>
    <w:rsid w:val="0043147F"/>
    <w:rsid w:val="00441BF2"/>
    <w:rsid w:val="00470A90"/>
    <w:rsid w:val="004B5670"/>
    <w:rsid w:val="004B63F3"/>
    <w:rsid w:val="005861FC"/>
    <w:rsid w:val="005D56A7"/>
    <w:rsid w:val="00676B89"/>
    <w:rsid w:val="00693813"/>
    <w:rsid w:val="006C56BD"/>
    <w:rsid w:val="0072539B"/>
    <w:rsid w:val="007A361D"/>
    <w:rsid w:val="007E5164"/>
    <w:rsid w:val="007E68AD"/>
    <w:rsid w:val="00802909"/>
    <w:rsid w:val="00836ACA"/>
    <w:rsid w:val="00876FC1"/>
    <w:rsid w:val="008D4384"/>
    <w:rsid w:val="008E105F"/>
    <w:rsid w:val="008E6B6D"/>
    <w:rsid w:val="009A248F"/>
    <w:rsid w:val="009B58A0"/>
    <w:rsid w:val="00A10879"/>
    <w:rsid w:val="00A35D2D"/>
    <w:rsid w:val="00AC57E9"/>
    <w:rsid w:val="00AD0082"/>
    <w:rsid w:val="00AE12FA"/>
    <w:rsid w:val="00AF3236"/>
    <w:rsid w:val="00B2173A"/>
    <w:rsid w:val="00B819B6"/>
    <w:rsid w:val="00BB4AEC"/>
    <w:rsid w:val="00BC4301"/>
    <w:rsid w:val="00BD7332"/>
    <w:rsid w:val="00C11B04"/>
    <w:rsid w:val="00C20C79"/>
    <w:rsid w:val="00C30B6D"/>
    <w:rsid w:val="00CC3D96"/>
    <w:rsid w:val="00CE6B30"/>
    <w:rsid w:val="00CF2C50"/>
    <w:rsid w:val="00D405FF"/>
    <w:rsid w:val="00D43CFD"/>
    <w:rsid w:val="00D445AE"/>
    <w:rsid w:val="00F33F4A"/>
    <w:rsid w:val="00F36D8B"/>
    <w:rsid w:val="00F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B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0B6D"/>
  </w:style>
  <w:style w:type="paragraph" w:styleId="Footer">
    <w:name w:val="footer"/>
    <w:basedOn w:val="Normal"/>
    <w:link w:val="FooterChar"/>
    <w:uiPriority w:val="99"/>
    <w:unhideWhenUsed/>
    <w:rsid w:val="00C30B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0B6D"/>
  </w:style>
  <w:style w:type="paragraph" w:styleId="NoSpacing">
    <w:name w:val="No Spacing"/>
    <w:uiPriority w:val="1"/>
    <w:qFormat/>
    <w:rsid w:val="005D56A7"/>
    <w:pPr>
      <w:spacing w:after="0" w:line="240" w:lineRule="auto"/>
    </w:pPr>
  </w:style>
  <w:style w:type="paragraph" w:customStyle="1" w:styleId="Default">
    <w:name w:val="Default"/>
    <w:rsid w:val="00315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F3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3A56-8674-45F1-8650-25EEA81F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16</Pages>
  <Words>6210</Words>
  <Characters>35399</Characters>
  <Application>Microsoft Office Word</Application>
  <DocSecurity>0</DocSecurity>
  <Lines>294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n_janeva</dc:creator>
  <cp:keywords/>
  <dc:description/>
  <cp:lastModifiedBy>GAngelov</cp:lastModifiedBy>
  <cp:revision>49</cp:revision>
  <dcterms:created xsi:type="dcterms:W3CDTF">2016-03-01T08:35:00Z</dcterms:created>
  <dcterms:modified xsi:type="dcterms:W3CDTF">2016-04-27T11:50:00Z</dcterms:modified>
</cp:coreProperties>
</file>